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7FCA8" w14:textId="77777777" w:rsidR="00E92F8A" w:rsidRDefault="00E92F8A" w:rsidP="00CF6A75">
      <w:pPr>
        <w:tabs>
          <w:tab w:val="left" w:pos="993"/>
        </w:tabs>
        <w:ind w:left="-284" w:right="-284"/>
        <w:jc w:val="center"/>
        <w:rPr>
          <w:rFonts w:ascii="Times New Roman" w:hAnsi="Times New Roman" w:cs="Times New Roman"/>
        </w:rPr>
      </w:pPr>
    </w:p>
    <w:p w14:paraId="3664702E" w14:textId="77777777" w:rsidR="00E92F8A" w:rsidRDefault="00E92F8A" w:rsidP="00CF6A75">
      <w:pPr>
        <w:tabs>
          <w:tab w:val="left" w:pos="993"/>
        </w:tabs>
        <w:ind w:left="-284" w:right="-284"/>
        <w:jc w:val="center"/>
        <w:rPr>
          <w:rFonts w:ascii="Times New Roman" w:hAnsi="Times New Roman" w:cs="Times New Roman"/>
        </w:rPr>
      </w:pPr>
    </w:p>
    <w:p w14:paraId="5102BA0E" w14:textId="4941FD96" w:rsidR="00CF6A75" w:rsidRPr="0028364C" w:rsidRDefault="00CF6A75" w:rsidP="00CF6A75">
      <w:pPr>
        <w:tabs>
          <w:tab w:val="left" w:pos="993"/>
        </w:tabs>
        <w:ind w:left="-284" w:right="-284"/>
        <w:jc w:val="center"/>
        <w:rPr>
          <w:rFonts w:ascii="Times New Roman" w:hAnsi="Times New Roman" w:cs="Times New Roman"/>
        </w:rPr>
      </w:pPr>
      <w:r w:rsidRPr="0028364C">
        <w:rPr>
          <w:rFonts w:ascii="Times New Roman" w:hAnsi="Times New Roman" w:cs="Times New Roman"/>
        </w:rPr>
        <w:t xml:space="preserve">A DUNA TAKARÉK BANK </w:t>
      </w:r>
      <w:proofErr w:type="spellStart"/>
      <w:r w:rsidRPr="0028364C">
        <w:rPr>
          <w:rFonts w:ascii="Times New Roman" w:hAnsi="Times New Roman" w:cs="Times New Roman"/>
        </w:rPr>
        <w:t>Zrt</w:t>
      </w:r>
      <w:proofErr w:type="spellEnd"/>
      <w:r w:rsidRPr="0028364C">
        <w:rPr>
          <w:rFonts w:ascii="Times New Roman" w:hAnsi="Times New Roman" w:cs="Times New Roman"/>
        </w:rPr>
        <w:t xml:space="preserve">. </w:t>
      </w:r>
      <w:r w:rsidR="0051160D" w:rsidRPr="0028364C">
        <w:rPr>
          <w:rFonts w:ascii="Times New Roman" w:hAnsi="Times New Roman" w:cs="Times New Roman"/>
        </w:rPr>
        <w:t>Felügyelőbizottsága</w:t>
      </w:r>
      <w:r w:rsidR="00214F78">
        <w:rPr>
          <w:rFonts w:ascii="Times New Roman" w:hAnsi="Times New Roman" w:cs="Times New Roman"/>
        </w:rPr>
        <w:t xml:space="preserve"> által</w:t>
      </w:r>
      <w:r w:rsidR="009149BC">
        <w:rPr>
          <w:rFonts w:ascii="Times New Roman" w:hAnsi="Times New Roman" w:cs="Times New Roman"/>
        </w:rPr>
        <w:t xml:space="preserve"> jóváhagyott</w:t>
      </w:r>
      <w:r w:rsidR="00214F78">
        <w:rPr>
          <w:rFonts w:ascii="Times New Roman" w:hAnsi="Times New Roman" w:cs="Times New Roman"/>
        </w:rPr>
        <w:t xml:space="preserve"> </w:t>
      </w:r>
      <w:r w:rsidR="00E92F8A">
        <w:rPr>
          <w:rFonts w:ascii="Times New Roman" w:hAnsi="Times New Roman" w:cs="Times New Roman"/>
        </w:rPr>
        <w:t>84</w:t>
      </w:r>
      <w:r w:rsidR="002C1797">
        <w:rPr>
          <w:rFonts w:ascii="Times New Roman" w:hAnsi="Times New Roman" w:cs="Times New Roman"/>
        </w:rPr>
        <w:t>/2022</w:t>
      </w:r>
      <w:r w:rsidR="0088331C">
        <w:rPr>
          <w:rFonts w:ascii="Times New Roman" w:hAnsi="Times New Roman" w:cs="Times New Roman"/>
        </w:rPr>
        <w:t>/FB</w:t>
      </w:r>
      <w:r w:rsidR="004A228C">
        <w:rPr>
          <w:rFonts w:ascii="Times New Roman" w:hAnsi="Times New Roman" w:cs="Times New Roman"/>
        </w:rPr>
        <w:t xml:space="preserve"> sz.</w:t>
      </w:r>
      <w:r w:rsidRPr="0028364C">
        <w:rPr>
          <w:rFonts w:ascii="Times New Roman" w:hAnsi="Times New Roman" w:cs="Times New Roman"/>
        </w:rPr>
        <w:t xml:space="preserve"> szabályzat</w:t>
      </w:r>
    </w:p>
    <w:p w14:paraId="70A890E9" w14:textId="77777777" w:rsidR="005951B2" w:rsidRPr="0028364C" w:rsidRDefault="005951B2" w:rsidP="00901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C3515" w14:textId="77777777" w:rsidR="009010ED" w:rsidRPr="0028364C" w:rsidRDefault="009010ED" w:rsidP="009010E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E1D129C" w14:textId="77777777" w:rsidR="009010ED" w:rsidRPr="0028364C" w:rsidRDefault="009010ED" w:rsidP="00F01E55">
      <w:pPr>
        <w:rPr>
          <w:rFonts w:ascii="Times New Roman" w:hAnsi="Times New Roman" w:cs="Times New Roman"/>
          <w:b/>
          <w:sz w:val="44"/>
          <w:szCs w:val="44"/>
        </w:rPr>
      </w:pPr>
    </w:p>
    <w:p w14:paraId="6C5FDC69" w14:textId="77777777" w:rsidR="005951B2" w:rsidRPr="0028364C" w:rsidRDefault="005951B2" w:rsidP="00F01E55">
      <w:pPr>
        <w:rPr>
          <w:rFonts w:ascii="Times New Roman" w:hAnsi="Times New Roman" w:cs="Times New Roman"/>
          <w:b/>
          <w:sz w:val="44"/>
          <w:szCs w:val="44"/>
        </w:rPr>
      </w:pPr>
    </w:p>
    <w:p w14:paraId="34979E28" w14:textId="77777777" w:rsidR="00B37012" w:rsidRPr="0028364C" w:rsidRDefault="009010ED" w:rsidP="009010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364C">
        <w:rPr>
          <w:rFonts w:ascii="Times New Roman" w:hAnsi="Times New Roman" w:cs="Times New Roman"/>
          <w:b/>
          <w:sz w:val="44"/>
          <w:szCs w:val="44"/>
        </w:rPr>
        <w:t xml:space="preserve">Duna Takarék Bank </w:t>
      </w:r>
      <w:proofErr w:type="spellStart"/>
      <w:r w:rsidRPr="0028364C">
        <w:rPr>
          <w:rFonts w:ascii="Times New Roman" w:hAnsi="Times New Roman" w:cs="Times New Roman"/>
          <w:b/>
          <w:sz w:val="44"/>
          <w:szCs w:val="44"/>
        </w:rPr>
        <w:t>Zrt</w:t>
      </w:r>
      <w:proofErr w:type="spellEnd"/>
      <w:r w:rsidRPr="0028364C">
        <w:rPr>
          <w:rFonts w:ascii="Times New Roman" w:hAnsi="Times New Roman" w:cs="Times New Roman"/>
          <w:b/>
          <w:sz w:val="44"/>
          <w:szCs w:val="44"/>
        </w:rPr>
        <w:t>.</w:t>
      </w:r>
    </w:p>
    <w:p w14:paraId="379B41AB" w14:textId="77777777" w:rsidR="009010ED" w:rsidRPr="0028364C" w:rsidRDefault="009010ED" w:rsidP="009010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364C">
        <w:rPr>
          <w:rFonts w:ascii="Times New Roman" w:hAnsi="Times New Roman" w:cs="Times New Roman"/>
          <w:b/>
          <w:sz w:val="44"/>
          <w:szCs w:val="44"/>
        </w:rPr>
        <w:t>Javadalmazási Politika</w:t>
      </w:r>
    </w:p>
    <w:p w14:paraId="5A330E7E" w14:textId="77777777" w:rsidR="009010ED" w:rsidRPr="0028364C" w:rsidRDefault="009010ED">
      <w:pPr>
        <w:rPr>
          <w:rFonts w:ascii="Times New Roman" w:hAnsi="Times New Roman" w:cs="Times New Roman"/>
          <w:sz w:val="24"/>
          <w:szCs w:val="24"/>
        </w:rPr>
      </w:pPr>
    </w:p>
    <w:p w14:paraId="73BFDBA6" w14:textId="77777777" w:rsidR="009010ED" w:rsidRPr="0028364C" w:rsidRDefault="009010ED">
      <w:pPr>
        <w:rPr>
          <w:rFonts w:ascii="Times New Roman" w:hAnsi="Times New Roman" w:cs="Times New Roman"/>
          <w:sz w:val="24"/>
          <w:szCs w:val="24"/>
        </w:rPr>
      </w:pPr>
    </w:p>
    <w:p w14:paraId="225A7461" w14:textId="77777777" w:rsidR="009010ED" w:rsidRPr="0028364C" w:rsidRDefault="00003C88">
      <w:pPr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48D02317" wp14:editId="73DF1566">
            <wp:simplePos x="0" y="0"/>
            <wp:positionH relativeFrom="column">
              <wp:posOffset>986155</wp:posOffset>
            </wp:positionH>
            <wp:positionV relativeFrom="paragraph">
              <wp:posOffset>142875</wp:posOffset>
            </wp:positionV>
            <wp:extent cx="3695700" cy="923925"/>
            <wp:effectExtent l="19050" t="0" r="0" b="0"/>
            <wp:wrapSquare wrapText="bothSides"/>
            <wp:docPr id="1" name="Kép 2" descr="F:\kozpont\informatika\Dokumentumok\logo\011AS725_4_DTB logó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zpont\informatika\Dokumentumok\logo\011AS725_4_DTB logó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2F777F" w14:textId="77777777" w:rsidR="009010ED" w:rsidRPr="0028364C" w:rsidRDefault="009010ED">
      <w:pPr>
        <w:rPr>
          <w:rFonts w:ascii="Times New Roman" w:hAnsi="Times New Roman" w:cs="Times New Roman"/>
          <w:sz w:val="24"/>
          <w:szCs w:val="24"/>
        </w:rPr>
      </w:pPr>
    </w:p>
    <w:p w14:paraId="4F07F6D6" w14:textId="77777777" w:rsidR="009010ED" w:rsidRPr="0028364C" w:rsidRDefault="009010ED">
      <w:pPr>
        <w:rPr>
          <w:rFonts w:ascii="Times New Roman" w:hAnsi="Times New Roman" w:cs="Times New Roman"/>
          <w:sz w:val="24"/>
          <w:szCs w:val="24"/>
        </w:rPr>
      </w:pPr>
    </w:p>
    <w:p w14:paraId="7F955651" w14:textId="77777777" w:rsidR="009010ED" w:rsidRPr="0028364C" w:rsidRDefault="009010ED">
      <w:pPr>
        <w:rPr>
          <w:rFonts w:ascii="Times New Roman" w:hAnsi="Times New Roman" w:cs="Times New Roman"/>
          <w:sz w:val="24"/>
          <w:szCs w:val="24"/>
        </w:rPr>
      </w:pPr>
    </w:p>
    <w:p w14:paraId="1F1D6BD2" w14:textId="77777777" w:rsidR="009010ED" w:rsidRPr="0028364C" w:rsidRDefault="009010ED">
      <w:pPr>
        <w:rPr>
          <w:rFonts w:ascii="Times New Roman" w:hAnsi="Times New Roman" w:cs="Times New Roman"/>
          <w:sz w:val="24"/>
          <w:szCs w:val="24"/>
        </w:rPr>
      </w:pPr>
    </w:p>
    <w:p w14:paraId="46BE1DA6" w14:textId="77777777" w:rsidR="009010ED" w:rsidRPr="0028364C" w:rsidRDefault="009010ED">
      <w:pPr>
        <w:rPr>
          <w:rFonts w:ascii="Times New Roman" w:hAnsi="Times New Roman" w:cs="Times New Roman"/>
          <w:sz w:val="24"/>
          <w:szCs w:val="24"/>
        </w:rPr>
      </w:pPr>
    </w:p>
    <w:p w14:paraId="0684324A" w14:textId="77777777" w:rsidR="009010ED" w:rsidRPr="0028364C" w:rsidRDefault="009010ED" w:rsidP="00901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9F137" w14:textId="356D9D8F" w:rsidR="00AA3F2C" w:rsidRPr="0028364C" w:rsidRDefault="00AA3F2C" w:rsidP="00AA3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4C">
        <w:rPr>
          <w:rFonts w:ascii="Times New Roman" w:hAnsi="Times New Roman" w:cs="Times New Roman"/>
          <w:b/>
          <w:sz w:val="28"/>
          <w:szCs w:val="28"/>
        </w:rPr>
        <w:t xml:space="preserve">Hatályos: </w:t>
      </w:r>
      <w:r w:rsidR="0088331C">
        <w:rPr>
          <w:rFonts w:ascii="Times New Roman" w:hAnsi="Times New Roman" w:cs="Times New Roman"/>
          <w:sz w:val="28"/>
          <w:szCs w:val="28"/>
        </w:rPr>
        <w:t>202</w:t>
      </w:r>
      <w:r w:rsidR="002C1797">
        <w:rPr>
          <w:rFonts w:ascii="Times New Roman" w:hAnsi="Times New Roman" w:cs="Times New Roman"/>
          <w:sz w:val="28"/>
          <w:szCs w:val="28"/>
        </w:rPr>
        <w:t>2</w:t>
      </w:r>
      <w:r w:rsidR="0088331C">
        <w:rPr>
          <w:rFonts w:ascii="Times New Roman" w:hAnsi="Times New Roman" w:cs="Times New Roman"/>
          <w:sz w:val="28"/>
          <w:szCs w:val="28"/>
        </w:rPr>
        <w:t xml:space="preserve">. </w:t>
      </w:r>
      <w:r w:rsidR="00E92F8A">
        <w:rPr>
          <w:rFonts w:ascii="Times New Roman" w:hAnsi="Times New Roman" w:cs="Times New Roman"/>
          <w:sz w:val="28"/>
          <w:szCs w:val="28"/>
        </w:rPr>
        <w:t>augusztus</w:t>
      </w:r>
      <w:r w:rsidR="004A228C">
        <w:rPr>
          <w:rFonts w:ascii="Times New Roman" w:hAnsi="Times New Roman" w:cs="Times New Roman"/>
          <w:sz w:val="28"/>
          <w:szCs w:val="28"/>
        </w:rPr>
        <w:t xml:space="preserve"> 1</w:t>
      </w:r>
      <w:r w:rsidR="00E92F8A">
        <w:rPr>
          <w:rFonts w:ascii="Times New Roman" w:hAnsi="Times New Roman" w:cs="Times New Roman"/>
          <w:sz w:val="28"/>
          <w:szCs w:val="28"/>
        </w:rPr>
        <w:t>0</w:t>
      </w:r>
      <w:r w:rsidR="004A228C">
        <w:rPr>
          <w:rFonts w:ascii="Times New Roman" w:hAnsi="Times New Roman" w:cs="Times New Roman"/>
          <w:sz w:val="28"/>
          <w:szCs w:val="28"/>
        </w:rPr>
        <w:t>-től</w:t>
      </w:r>
    </w:p>
    <w:p w14:paraId="7EF78486" w14:textId="77777777" w:rsidR="009010ED" w:rsidRPr="0028364C" w:rsidRDefault="009010ED" w:rsidP="00901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3F5B2" w14:textId="77777777" w:rsidR="009010ED" w:rsidRPr="0028364C" w:rsidRDefault="009010ED" w:rsidP="009010ED">
      <w:pPr>
        <w:rPr>
          <w:rFonts w:ascii="Times New Roman" w:hAnsi="Times New Roman" w:cs="Times New Roman"/>
          <w:b/>
          <w:sz w:val="28"/>
          <w:szCs w:val="28"/>
        </w:rPr>
      </w:pPr>
    </w:p>
    <w:p w14:paraId="4515B8F5" w14:textId="77777777" w:rsidR="00E70012" w:rsidRPr="0028364C" w:rsidRDefault="00E70012" w:rsidP="009010ED">
      <w:pPr>
        <w:rPr>
          <w:rFonts w:ascii="Times New Roman" w:hAnsi="Times New Roman" w:cs="Times New Roman"/>
          <w:b/>
          <w:sz w:val="28"/>
          <w:szCs w:val="28"/>
        </w:rPr>
      </w:pPr>
    </w:p>
    <w:p w14:paraId="6D655C41" w14:textId="77777777" w:rsidR="00E70012" w:rsidRPr="0028364C" w:rsidRDefault="00E70012" w:rsidP="009010ED">
      <w:pPr>
        <w:rPr>
          <w:rFonts w:ascii="Times New Roman" w:hAnsi="Times New Roman" w:cs="Times New Roman"/>
          <w:b/>
          <w:sz w:val="28"/>
          <w:szCs w:val="28"/>
        </w:rPr>
      </w:pPr>
    </w:p>
    <w:p w14:paraId="64910DDE" w14:textId="77777777" w:rsidR="00E70012" w:rsidRPr="0028364C" w:rsidRDefault="00E70012" w:rsidP="009010ED">
      <w:pPr>
        <w:rPr>
          <w:rFonts w:ascii="Times New Roman" w:hAnsi="Times New Roman" w:cs="Times New Roman"/>
          <w:b/>
          <w:sz w:val="28"/>
          <w:szCs w:val="28"/>
        </w:rPr>
      </w:pPr>
    </w:p>
    <w:p w14:paraId="2BCDD8FD" w14:textId="77777777" w:rsidR="00E70012" w:rsidRPr="0028364C" w:rsidRDefault="00E70012" w:rsidP="00E70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b/>
          <w:sz w:val="28"/>
          <w:szCs w:val="28"/>
        </w:rPr>
        <w:tab/>
      </w:r>
      <w:r w:rsidRPr="0028364C">
        <w:rPr>
          <w:rFonts w:ascii="Times New Roman" w:hAnsi="Times New Roman" w:cs="Times New Roman"/>
          <w:b/>
          <w:sz w:val="28"/>
          <w:szCs w:val="28"/>
        </w:rPr>
        <w:tab/>
      </w:r>
      <w:r w:rsidRPr="0028364C">
        <w:rPr>
          <w:rFonts w:ascii="Times New Roman" w:hAnsi="Times New Roman" w:cs="Times New Roman"/>
          <w:b/>
          <w:sz w:val="28"/>
          <w:szCs w:val="28"/>
        </w:rPr>
        <w:tab/>
      </w:r>
      <w:r w:rsidRPr="0028364C">
        <w:rPr>
          <w:rFonts w:ascii="Times New Roman" w:hAnsi="Times New Roman" w:cs="Times New Roman"/>
          <w:b/>
          <w:sz w:val="28"/>
          <w:szCs w:val="28"/>
        </w:rPr>
        <w:tab/>
      </w:r>
      <w:r w:rsidRPr="0028364C">
        <w:rPr>
          <w:rFonts w:ascii="Times New Roman" w:hAnsi="Times New Roman" w:cs="Times New Roman"/>
          <w:b/>
          <w:sz w:val="28"/>
          <w:szCs w:val="28"/>
        </w:rPr>
        <w:tab/>
      </w:r>
      <w:r w:rsidRPr="0028364C">
        <w:rPr>
          <w:rFonts w:ascii="Times New Roman" w:hAnsi="Times New Roman" w:cs="Times New Roman"/>
          <w:b/>
          <w:sz w:val="28"/>
          <w:szCs w:val="28"/>
        </w:rPr>
        <w:tab/>
      </w:r>
      <w:r w:rsidRPr="0028364C">
        <w:rPr>
          <w:rFonts w:ascii="Times New Roman" w:hAnsi="Times New Roman" w:cs="Times New Roman"/>
          <w:b/>
          <w:sz w:val="28"/>
          <w:szCs w:val="28"/>
        </w:rPr>
        <w:tab/>
      </w:r>
      <w:r w:rsidRPr="0028364C">
        <w:rPr>
          <w:rFonts w:ascii="Times New Roman" w:hAnsi="Times New Roman" w:cs="Times New Roman"/>
          <w:b/>
          <w:sz w:val="28"/>
          <w:szCs w:val="28"/>
        </w:rPr>
        <w:tab/>
      </w:r>
      <w:r w:rsidRPr="0028364C">
        <w:rPr>
          <w:rFonts w:ascii="Times New Roman" w:hAnsi="Times New Roman" w:cs="Times New Roman"/>
          <w:b/>
          <w:sz w:val="28"/>
          <w:szCs w:val="28"/>
        </w:rPr>
        <w:tab/>
      </w:r>
      <w:r w:rsidRPr="0028364C">
        <w:rPr>
          <w:rFonts w:ascii="Times New Roman" w:hAnsi="Times New Roman" w:cs="Times New Roman"/>
          <w:b/>
          <w:sz w:val="28"/>
          <w:szCs w:val="28"/>
        </w:rPr>
        <w:tab/>
      </w:r>
      <w:r w:rsidRPr="0028364C">
        <w:rPr>
          <w:rFonts w:ascii="Times New Roman" w:hAnsi="Times New Roman" w:cs="Times New Roman"/>
          <w:sz w:val="24"/>
          <w:szCs w:val="24"/>
        </w:rPr>
        <w:t>Csicsáky Péter</w:t>
      </w:r>
    </w:p>
    <w:p w14:paraId="130A2580" w14:textId="77777777" w:rsidR="00E70012" w:rsidRPr="0028364C" w:rsidRDefault="00E70012" w:rsidP="009010ED">
      <w:pPr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ab/>
      </w:r>
      <w:r w:rsidRPr="0028364C">
        <w:rPr>
          <w:rFonts w:ascii="Times New Roman" w:hAnsi="Times New Roman" w:cs="Times New Roman"/>
          <w:sz w:val="24"/>
          <w:szCs w:val="24"/>
        </w:rPr>
        <w:tab/>
      </w:r>
      <w:r w:rsidRPr="0028364C">
        <w:rPr>
          <w:rFonts w:ascii="Times New Roman" w:hAnsi="Times New Roman" w:cs="Times New Roman"/>
          <w:sz w:val="24"/>
          <w:szCs w:val="24"/>
        </w:rPr>
        <w:tab/>
      </w:r>
      <w:r w:rsidRPr="0028364C">
        <w:rPr>
          <w:rFonts w:ascii="Times New Roman" w:hAnsi="Times New Roman" w:cs="Times New Roman"/>
          <w:sz w:val="24"/>
          <w:szCs w:val="24"/>
        </w:rPr>
        <w:tab/>
      </w:r>
      <w:r w:rsidRPr="0028364C">
        <w:rPr>
          <w:rFonts w:ascii="Times New Roman" w:hAnsi="Times New Roman" w:cs="Times New Roman"/>
          <w:sz w:val="24"/>
          <w:szCs w:val="24"/>
        </w:rPr>
        <w:tab/>
      </w:r>
      <w:r w:rsidRPr="0028364C">
        <w:rPr>
          <w:rFonts w:ascii="Times New Roman" w:hAnsi="Times New Roman" w:cs="Times New Roman"/>
          <w:sz w:val="24"/>
          <w:szCs w:val="24"/>
        </w:rPr>
        <w:tab/>
      </w:r>
      <w:r w:rsidRPr="0028364C">
        <w:rPr>
          <w:rFonts w:ascii="Times New Roman" w:hAnsi="Times New Roman" w:cs="Times New Roman"/>
          <w:sz w:val="24"/>
          <w:szCs w:val="24"/>
        </w:rPr>
        <w:tab/>
      </w:r>
      <w:r w:rsidRPr="0028364C">
        <w:rPr>
          <w:rFonts w:ascii="Times New Roman" w:hAnsi="Times New Roman" w:cs="Times New Roman"/>
          <w:sz w:val="24"/>
          <w:szCs w:val="24"/>
        </w:rPr>
        <w:tab/>
      </w:r>
      <w:r w:rsidRPr="0028364C">
        <w:rPr>
          <w:rFonts w:ascii="Times New Roman" w:hAnsi="Times New Roman" w:cs="Times New Roman"/>
          <w:sz w:val="24"/>
          <w:szCs w:val="24"/>
        </w:rPr>
        <w:tab/>
      </w:r>
      <w:r w:rsidRPr="0028364C">
        <w:rPr>
          <w:rFonts w:ascii="Times New Roman" w:hAnsi="Times New Roman" w:cs="Times New Roman"/>
          <w:sz w:val="24"/>
          <w:szCs w:val="24"/>
        </w:rPr>
        <w:tab/>
        <w:t>vezérigazgató</w:t>
      </w:r>
    </w:p>
    <w:p w14:paraId="074D4CD6" w14:textId="77777777" w:rsidR="00E70012" w:rsidRPr="0028364C" w:rsidRDefault="00E70012" w:rsidP="009010ED">
      <w:pPr>
        <w:rPr>
          <w:rFonts w:ascii="Times New Roman" w:hAnsi="Times New Roman" w:cs="Times New Roman"/>
          <w:sz w:val="24"/>
          <w:szCs w:val="24"/>
        </w:rPr>
      </w:pPr>
    </w:p>
    <w:p w14:paraId="3B895D19" w14:textId="77777777" w:rsidR="00E70012" w:rsidRDefault="00E70012" w:rsidP="009010ED">
      <w:pPr>
        <w:rPr>
          <w:rFonts w:ascii="Times New Roman" w:hAnsi="Times New Roman" w:cs="Times New Roman"/>
          <w:sz w:val="24"/>
          <w:szCs w:val="24"/>
        </w:rPr>
      </w:pPr>
    </w:p>
    <w:p w14:paraId="58B02B7B" w14:textId="77777777" w:rsidR="008C62D8" w:rsidRDefault="008C62D8" w:rsidP="009010ED">
      <w:pPr>
        <w:rPr>
          <w:rFonts w:ascii="Times New Roman" w:hAnsi="Times New Roman" w:cs="Times New Roman"/>
          <w:sz w:val="24"/>
          <w:szCs w:val="24"/>
        </w:rPr>
      </w:pPr>
    </w:p>
    <w:p w14:paraId="7980E426" w14:textId="77777777" w:rsidR="008C62D8" w:rsidRDefault="008C62D8" w:rsidP="009010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482"/>
        <w:gridCol w:w="3239"/>
        <w:gridCol w:w="2674"/>
        <w:gridCol w:w="2197"/>
      </w:tblGrid>
      <w:tr w:rsidR="008C62D8" w14:paraId="10487FB6" w14:textId="77777777" w:rsidTr="00DA498F">
        <w:trPr>
          <w:trHeight w:val="444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C24" w14:textId="77777777" w:rsidR="008C62D8" w:rsidRDefault="008C62D8" w:rsidP="0003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Szabályozási </w:t>
            </w:r>
            <w:proofErr w:type="spellStart"/>
            <w:r>
              <w:rPr>
                <w:color w:val="000000"/>
                <w:sz w:val="18"/>
                <w:szCs w:val="18"/>
              </w:rPr>
              <w:t>dok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 </w:t>
            </w:r>
            <w:proofErr w:type="spellStart"/>
            <w:r>
              <w:rPr>
                <w:color w:val="000000"/>
                <w:sz w:val="18"/>
                <w:szCs w:val="18"/>
              </w:rPr>
              <w:t>nyilv.tart</w:t>
            </w:r>
            <w:proofErr w:type="spellEnd"/>
            <w:r>
              <w:rPr>
                <w:color w:val="000000"/>
                <w:sz w:val="18"/>
                <w:szCs w:val="18"/>
              </w:rPr>
              <w:t>. száma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CB4D" w14:textId="77777777" w:rsidR="008C62D8" w:rsidRDefault="008C62D8" w:rsidP="0003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Hatályba lépés időpontja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19E" w14:textId="77777777" w:rsidR="008C62D8" w:rsidRDefault="008C62D8" w:rsidP="0003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Szabályozási dokumentum készítésért/felülvizsgálatáért/módosításáért felelős Szakterület/Osztály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F086" w14:textId="14023D7C" w:rsidR="008C62D8" w:rsidRDefault="008C62D8" w:rsidP="0003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ÜV/VÉ/IG</w:t>
            </w:r>
            <w:r w:rsidR="00D82A18">
              <w:rPr>
                <w:color w:val="000000"/>
                <w:sz w:val="18"/>
                <w:szCs w:val="18"/>
              </w:rPr>
              <w:t>/FB</w:t>
            </w:r>
            <w:r>
              <w:rPr>
                <w:color w:val="000000"/>
                <w:sz w:val="18"/>
                <w:szCs w:val="18"/>
              </w:rPr>
              <w:t xml:space="preserve"> határozat száma (Amennyiben a szabályzat készítése/ módosítása/felülvizsgálata ÜV/VÉ/IG</w:t>
            </w:r>
            <w:r w:rsidR="00D82A18">
              <w:rPr>
                <w:color w:val="000000"/>
                <w:sz w:val="18"/>
                <w:szCs w:val="18"/>
              </w:rPr>
              <w:t>/FB</w:t>
            </w:r>
            <w:r>
              <w:rPr>
                <w:color w:val="000000"/>
                <w:sz w:val="18"/>
                <w:szCs w:val="18"/>
              </w:rPr>
              <w:t xml:space="preserve"> jóváhagyásához kötött)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34B2" w14:textId="77777777" w:rsidR="008C62D8" w:rsidRDefault="008C62D8" w:rsidP="0003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 kiadással </w:t>
            </w:r>
            <w:proofErr w:type="spellStart"/>
            <w:r>
              <w:rPr>
                <w:color w:val="000000"/>
                <w:sz w:val="18"/>
                <w:szCs w:val="18"/>
              </w:rPr>
              <w:t>egyidőben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hatályon kívül helyezett dokumentum </w:t>
            </w:r>
            <w:proofErr w:type="spellStart"/>
            <w:r>
              <w:rPr>
                <w:color w:val="000000"/>
                <w:sz w:val="18"/>
                <w:szCs w:val="18"/>
              </w:rPr>
              <w:t>nyilv.tartási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száma</w:t>
            </w:r>
          </w:p>
        </w:tc>
      </w:tr>
      <w:tr w:rsidR="008C62D8" w14:paraId="0DE37AFC" w14:textId="77777777" w:rsidTr="00DA498F">
        <w:trPr>
          <w:trHeight w:val="720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28E9" w14:textId="6AF1D934" w:rsidR="008C62D8" w:rsidRPr="00DA498F" w:rsidRDefault="008C62D8" w:rsidP="0003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98F">
              <w:rPr>
                <w:rFonts w:ascii="Times New Roman" w:hAnsi="Times New Roman" w:cs="Times New Roman"/>
                <w:sz w:val="20"/>
                <w:szCs w:val="20"/>
              </w:rPr>
              <w:t>99/2015/FB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5AE0" w14:textId="44136073" w:rsidR="008C62D8" w:rsidRPr="00DA498F" w:rsidRDefault="008C62D8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2015.12.22.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E9F6" w14:textId="2DBA43CA" w:rsidR="008C62D8" w:rsidRPr="00DA498F" w:rsidRDefault="00DA498F" w:rsidP="00036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Compliance</w:t>
            </w:r>
            <w:proofErr w:type="spellEnd"/>
            <w:r w:rsidRPr="00DA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Officer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711C" w14:textId="6AA798EA" w:rsidR="008C62D8" w:rsidRPr="00DA498F" w:rsidRDefault="00D82A18" w:rsidP="00036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11/5/2015.(12.21.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FB hat.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2AD9" w14:textId="77777777" w:rsidR="008C62D8" w:rsidRPr="00DA498F" w:rsidRDefault="008C62D8" w:rsidP="00036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62D8" w14:paraId="601B3299" w14:textId="77777777" w:rsidTr="00DA498F">
        <w:trPr>
          <w:trHeight w:val="720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0000" w14:textId="1AF9DDA5" w:rsidR="008C62D8" w:rsidRPr="00DA498F" w:rsidRDefault="008C62D8" w:rsidP="008C6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98F">
              <w:rPr>
                <w:rFonts w:ascii="Times New Roman" w:hAnsi="Times New Roman" w:cs="Times New Roman"/>
                <w:sz w:val="20"/>
                <w:szCs w:val="20"/>
              </w:rPr>
              <w:t>43/2017/FB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D6B2" w14:textId="7EB8BC09" w:rsidR="008C62D8" w:rsidRPr="00DA498F" w:rsidRDefault="008C62D8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2017.07.01.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2435" w14:textId="5B26A0EA" w:rsidR="008C62D8" w:rsidRPr="00DA498F" w:rsidRDefault="008C62D8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 Osztály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F246" w14:textId="65823F8F" w:rsidR="008C62D8" w:rsidRPr="00DA498F" w:rsidRDefault="00D82A18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8/2017.(07.03.)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FB hat.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4C5C" w14:textId="7D45FAEA" w:rsidR="008C62D8" w:rsidRPr="00DA498F" w:rsidRDefault="008C62D8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98F">
              <w:rPr>
                <w:rFonts w:ascii="Times New Roman" w:hAnsi="Times New Roman" w:cs="Times New Roman"/>
                <w:sz w:val="20"/>
                <w:szCs w:val="20"/>
              </w:rPr>
              <w:t>99/2015/FB</w:t>
            </w:r>
          </w:p>
        </w:tc>
      </w:tr>
      <w:tr w:rsidR="008C62D8" w14:paraId="38AA1472" w14:textId="77777777" w:rsidTr="00DA498F">
        <w:trPr>
          <w:trHeight w:val="72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23F0" w14:textId="5583E17A" w:rsidR="008C62D8" w:rsidRPr="00DA498F" w:rsidRDefault="008C62D8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98F">
              <w:rPr>
                <w:rFonts w:ascii="Times New Roman" w:hAnsi="Times New Roman" w:cs="Times New Roman"/>
                <w:sz w:val="20"/>
                <w:szCs w:val="20"/>
              </w:rPr>
              <w:t>22/2018/FB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7837" w14:textId="7F27E3C2" w:rsidR="008C62D8" w:rsidRPr="00DA498F" w:rsidRDefault="008C62D8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2018.05.10.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C181" w14:textId="124E4442" w:rsidR="008C62D8" w:rsidRPr="00DA498F" w:rsidRDefault="008C62D8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 Osztály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3E85" w14:textId="2272DEB4" w:rsidR="008C62D8" w:rsidRPr="00DA498F" w:rsidRDefault="00D82A18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17/2/2018.(05.09.)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FB hat.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0D3" w14:textId="233231D1" w:rsidR="008C62D8" w:rsidRPr="00DA498F" w:rsidRDefault="00DA498F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98F">
              <w:rPr>
                <w:rFonts w:ascii="Times New Roman" w:hAnsi="Times New Roman" w:cs="Times New Roman"/>
                <w:sz w:val="20"/>
                <w:szCs w:val="20"/>
              </w:rPr>
              <w:t>43/2017/FB</w:t>
            </w:r>
          </w:p>
        </w:tc>
      </w:tr>
      <w:tr w:rsidR="00DA498F" w14:paraId="51A0D148" w14:textId="77777777" w:rsidTr="00DA498F">
        <w:trPr>
          <w:trHeight w:val="72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CCC5" w14:textId="648565DA" w:rsidR="00DA498F" w:rsidRPr="00DA498F" w:rsidRDefault="005531E9" w:rsidP="008C6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FC6753">
              <w:rPr>
                <w:rFonts w:ascii="Times New Roman" w:hAnsi="Times New Roman" w:cs="Times New Roman"/>
                <w:sz w:val="20"/>
                <w:szCs w:val="20"/>
              </w:rPr>
              <w:t>/2018/FB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5F88" w14:textId="517928FA" w:rsidR="00DA498F" w:rsidRPr="00DA498F" w:rsidRDefault="00FC6753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2018.11.08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C68F" w14:textId="7C041BCD" w:rsidR="00DA498F" w:rsidRPr="00DA498F" w:rsidRDefault="00DA498F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 Osztály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5A33" w14:textId="57FC9048" w:rsidR="00DA498F" w:rsidRPr="00DA498F" w:rsidRDefault="001C3EFE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71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/2018.(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EC3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77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FB hat.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5946" w14:textId="7AE32172" w:rsidR="00DA498F" w:rsidRPr="00DA498F" w:rsidRDefault="00DA498F" w:rsidP="008C62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98F">
              <w:rPr>
                <w:rFonts w:ascii="Times New Roman" w:hAnsi="Times New Roman" w:cs="Times New Roman"/>
                <w:sz w:val="20"/>
                <w:szCs w:val="20"/>
              </w:rPr>
              <w:t>22/2018/FB</w:t>
            </w:r>
          </w:p>
        </w:tc>
      </w:tr>
      <w:tr w:rsidR="000F4B51" w14:paraId="780DF2E9" w14:textId="77777777" w:rsidTr="00DA498F">
        <w:trPr>
          <w:trHeight w:val="72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048" w14:textId="45C57279" w:rsidR="000F4B51" w:rsidRDefault="000F4B51" w:rsidP="000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63/2019/FB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01DE" w14:textId="42C566C5" w:rsidR="000F4B51" w:rsidRDefault="000F4B51" w:rsidP="000F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2019.09.02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85D5" w14:textId="2A04731A" w:rsidR="000F4B51" w:rsidRDefault="000F4B51" w:rsidP="000F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 osztály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76A1" w14:textId="77777777" w:rsidR="000F4B51" w:rsidRPr="00D221B0" w:rsidRDefault="000F4B51" w:rsidP="000F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30/2019.(08.28.) FB. hat.</w:t>
            </w:r>
          </w:p>
          <w:p w14:paraId="416EEA4F" w14:textId="77777777" w:rsidR="000F4B51" w:rsidRPr="00D221B0" w:rsidRDefault="000F4B51" w:rsidP="000F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BFCD" w14:textId="7D93AB38" w:rsidR="000F4B51" w:rsidRDefault="000F4B51" w:rsidP="000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121/2018/FB</w:t>
            </w:r>
          </w:p>
        </w:tc>
      </w:tr>
      <w:tr w:rsidR="000F4B51" w14:paraId="6C805E84" w14:textId="77777777" w:rsidTr="00DA498F">
        <w:trPr>
          <w:trHeight w:val="72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DC86" w14:textId="46634C06" w:rsidR="000F4B51" w:rsidRDefault="004B3383" w:rsidP="000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0F4B51">
              <w:rPr>
                <w:rFonts w:ascii="Times New Roman" w:hAnsi="Times New Roman" w:cs="Times New Roman"/>
                <w:sz w:val="20"/>
                <w:szCs w:val="20"/>
              </w:rPr>
              <w:t>/2020/FB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AB3D" w14:textId="251C6E0B" w:rsidR="000F4B51" w:rsidRDefault="000F4B51" w:rsidP="000F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2020.06.10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2398" w14:textId="4EB668A6" w:rsidR="000F4B51" w:rsidRPr="00DA498F" w:rsidRDefault="000F4B51" w:rsidP="000F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 osztály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F4A" w14:textId="20574325" w:rsidR="000F4B51" w:rsidRDefault="000F4B51" w:rsidP="000F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40/2020 (05.28) FB. hat.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B841" w14:textId="46D97B2D" w:rsidR="000F4B51" w:rsidRPr="00DA498F" w:rsidRDefault="000F4B51" w:rsidP="000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63/2019/FB</w:t>
            </w:r>
          </w:p>
        </w:tc>
      </w:tr>
      <w:tr w:rsidR="004A228C" w14:paraId="0EEE28B4" w14:textId="77777777" w:rsidTr="00DA498F">
        <w:trPr>
          <w:trHeight w:val="72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FEF1" w14:textId="619C4546" w:rsidR="004A228C" w:rsidRDefault="004A228C" w:rsidP="000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85/2021/FB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5811" w14:textId="431A7E00" w:rsidR="004A228C" w:rsidRDefault="004A228C" w:rsidP="000F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2021.07.01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48F7" w14:textId="6A608B3B" w:rsidR="004A228C" w:rsidRDefault="004A228C" w:rsidP="000F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 osztály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D578" w14:textId="0CCC582E" w:rsidR="004A228C" w:rsidRDefault="004A228C" w:rsidP="000F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17/2021.(06.17.)/FB. hat.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16BE" w14:textId="14CA5058" w:rsidR="004A228C" w:rsidRDefault="004A228C" w:rsidP="000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61/2020/FB</w:t>
            </w:r>
          </w:p>
        </w:tc>
      </w:tr>
      <w:tr w:rsidR="00E92F8A" w14:paraId="317BF971" w14:textId="77777777" w:rsidTr="00DA498F">
        <w:trPr>
          <w:trHeight w:val="72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ACA1" w14:textId="34ED0E7B" w:rsidR="00E92F8A" w:rsidRDefault="00E92F8A" w:rsidP="000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84/2022/FB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8DA1" w14:textId="7C1D2768" w:rsidR="00E92F8A" w:rsidRDefault="00E92F8A" w:rsidP="000F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2022.08.10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3E1E" w14:textId="5EAB02EB" w:rsidR="00E92F8A" w:rsidRDefault="00E92F8A" w:rsidP="000F4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 osztály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DC91" w14:textId="171C7F3B" w:rsidR="00E92F8A" w:rsidRDefault="00E92F8A" w:rsidP="000F4B51">
            <w:pPr>
              <w:jc w:val="center"/>
            </w:pPr>
            <w:r>
              <w:t>37/2022.(08.04.)/FB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6E15" w14:textId="6040E70F" w:rsidR="00E92F8A" w:rsidRDefault="00E92F8A" w:rsidP="000F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85/2021/FB</w:t>
            </w:r>
          </w:p>
        </w:tc>
      </w:tr>
    </w:tbl>
    <w:p w14:paraId="60BD772B" w14:textId="77777777" w:rsidR="008C62D8" w:rsidRDefault="008C62D8" w:rsidP="009010ED">
      <w:pPr>
        <w:rPr>
          <w:rFonts w:ascii="Times New Roman" w:hAnsi="Times New Roman" w:cs="Times New Roman"/>
          <w:sz w:val="24"/>
          <w:szCs w:val="24"/>
        </w:rPr>
      </w:pPr>
    </w:p>
    <w:p w14:paraId="4115A726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p w14:paraId="76BA25DB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p w14:paraId="5E4B4695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p w14:paraId="08DF9E12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p w14:paraId="05BFC726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p w14:paraId="2947AF88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p w14:paraId="3E25CD1F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p w14:paraId="4B3AFA80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p w14:paraId="30A8CAFB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p w14:paraId="567FC7CA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p w14:paraId="7F206A98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p w14:paraId="19A63DBC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p w14:paraId="199B1A29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p w14:paraId="6E474798" w14:textId="77777777" w:rsidR="00660D79" w:rsidRDefault="00660D79" w:rsidP="009010ED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-7108126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C55A21" w14:textId="77777777" w:rsidR="00A55027" w:rsidRPr="0028364C" w:rsidRDefault="00A55027">
          <w:pPr>
            <w:pStyle w:val="Tartalomjegyzkcmsora"/>
            <w:rPr>
              <w:rFonts w:ascii="Times New Roman" w:hAnsi="Times New Roman" w:cs="Times New Roman"/>
              <w:color w:val="auto"/>
            </w:rPr>
          </w:pPr>
          <w:r w:rsidRPr="0028364C">
            <w:rPr>
              <w:rFonts w:ascii="Times New Roman" w:hAnsi="Times New Roman" w:cs="Times New Roman"/>
              <w:color w:val="auto"/>
            </w:rPr>
            <w:t>Tartalom</w:t>
          </w:r>
        </w:p>
        <w:p w14:paraId="711F79DA" w14:textId="77777777" w:rsidR="00CF2E95" w:rsidRPr="0028364C" w:rsidRDefault="00CF2E95" w:rsidP="00CF2E95">
          <w:pPr>
            <w:rPr>
              <w:rFonts w:ascii="Times New Roman" w:hAnsi="Times New Roman" w:cs="Times New Roman"/>
            </w:rPr>
          </w:pPr>
        </w:p>
        <w:p w14:paraId="58773B01" w14:textId="77777777" w:rsidR="00E6086F" w:rsidRDefault="00F60BCB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r w:rsidRPr="0028364C">
            <w:rPr>
              <w:rFonts w:ascii="Times New Roman" w:hAnsi="Times New Roman" w:cs="Times New Roman"/>
            </w:rPr>
            <w:fldChar w:fldCharType="begin"/>
          </w:r>
          <w:r w:rsidR="00A55027" w:rsidRPr="0028364C">
            <w:rPr>
              <w:rFonts w:ascii="Times New Roman" w:hAnsi="Times New Roman" w:cs="Times New Roman"/>
            </w:rPr>
            <w:instrText xml:space="preserve"> TOC \o "1-3" \h \z \u </w:instrText>
          </w:r>
          <w:r w:rsidRPr="0028364C">
            <w:rPr>
              <w:rFonts w:ascii="Times New Roman" w:hAnsi="Times New Roman" w:cs="Times New Roman"/>
            </w:rPr>
            <w:fldChar w:fldCharType="separate"/>
          </w:r>
          <w:hyperlink w:anchor="_Toc109047087" w:history="1">
            <w:r w:rsidR="00E6086F" w:rsidRPr="00EE6592">
              <w:rPr>
                <w:rStyle w:val="Hiperhivatkozs"/>
                <w:rFonts w:ascii="Times New Roman" w:hAnsi="Times New Roman"/>
                <w:b/>
                <w:noProof/>
              </w:rPr>
              <w:t>1.</w:t>
            </w:r>
            <w:r w:rsidR="00E6086F">
              <w:rPr>
                <w:noProof/>
                <w:lang w:eastAsia="hu-HU"/>
              </w:rPr>
              <w:tab/>
            </w:r>
            <w:r w:rsidR="00E6086F" w:rsidRPr="00EE6592">
              <w:rPr>
                <w:rStyle w:val="Hiperhivatkozs"/>
                <w:rFonts w:ascii="Times New Roman" w:hAnsi="Times New Roman"/>
                <w:b/>
                <w:noProof/>
              </w:rPr>
              <w:t>A szabályzat célja és alapvetések</w:t>
            </w:r>
            <w:r w:rsidR="00E6086F">
              <w:rPr>
                <w:noProof/>
                <w:webHidden/>
              </w:rPr>
              <w:tab/>
            </w:r>
            <w:r w:rsidR="00E6086F">
              <w:rPr>
                <w:noProof/>
                <w:webHidden/>
              </w:rPr>
              <w:fldChar w:fldCharType="begin"/>
            </w:r>
            <w:r w:rsidR="00E6086F">
              <w:rPr>
                <w:noProof/>
                <w:webHidden/>
              </w:rPr>
              <w:instrText xml:space="preserve"> PAGEREF _Toc109047087 \h </w:instrText>
            </w:r>
            <w:r w:rsidR="00E6086F">
              <w:rPr>
                <w:noProof/>
                <w:webHidden/>
              </w:rPr>
            </w:r>
            <w:r w:rsidR="00E6086F">
              <w:rPr>
                <w:noProof/>
                <w:webHidden/>
              </w:rPr>
              <w:fldChar w:fldCharType="separate"/>
            </w:r>
            <w:r w:rsidR="00E6086F">
              <w:rPr>
                <w:noProof/>
                <w:webHidden/>
              </w:rPr>
              <w:t>5</w:t>
            </w:r>
            <w:r w:rsidR="00E6086F">
              <w:rPr>
                <w:noProof/>
                <w:webHidden/>
              </w:rPr>
              <w:fldChar w:fldCharType="end"/>
            </w:r>
          </w:hyperlink>
        </w:p>
        <w:p w14:paraId="711F7126" w14:textId="77777777" w:rsidR="00E6086F" w:rsidRDefault="00E6086F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109047088" w:history="1"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2.</w:t>
            </w:r>
            <w:r>
              <w:rPr>
                <w:noProof/>
                <w:lang w:eastAsia="hu-HU"/>
              </w:rPr>
              <w:tab/>
            </w:r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Fogalmi meghatározások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_Toc109047088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4AC33" w14:textId="77777777" w:rsidR="00E6086F" w:rsidRDefault="00E6086F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109047089" w:history="1"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3.</w:t>
            </w:r>
            <w:r>
              <w:rPr>
                <w:noProof/>
                <w:lang w:eastAsia="hu-HU"/>
              </w:rPr>
              <w:tab/>
            </w:r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Kapcsolódó jogszabályok és belső szabályzatok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_Toc109047089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F01DD" w14:textId="77777777" w:rsidR="00E6086F" w:rsidRDefault="00E6086F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109047090" w:history="1"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4.</w:t>
            </w:r>
            <w:r>
              <w:rPr>
                <w:noProof/>
                <w:lang w:eastAsia="hu-HU"/>
              </w:rPr>
              <w:tab/>
            </w:r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A szabályzat tárgya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_Toc109047090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72CE4" w14:textId="77777777" w:rsidR="00E6086F" w:rsidRDefault="00E6086F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109047091" w:history="1"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5.</w:t>
            </w:r>
            <w:r>
              <w:rPr>
                <w:noProof/>
                <w:lang w:eastAsia="hu-HU"/>
              </w:rPr>
              <w:tab/>
            </w:r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A szabályzat hatálya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_Toc109047091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1E3BF" w14:textId="77777777" w:rsidR="00E6086F" w:rsidRDefault="00E6086F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109047092" w:history="1"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6.</w:t>
            </w:r>
            <w:r>
              <w:rPr>
                <w:noProof/>
                <w:lang w:eastAsia="hu-HU"/>
              </w:rPr>
              <w:tab/>
            </w:r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A javadalmazás típusai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_Toc109047092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A211C" w14:textId="77777777" w:rsidR="00E6086F" w:rsidRDefault="00E6086F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109047098" w:history="1"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7.</w:t>
            </w:r>
            <w:r>
              <w:rPr>
                <w:noProof/>
                <w:lang w:eastAsia="hu-HU"/>
              </w:rPr>
              <w:tab/>
            </w:r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Teljesítményértékelési és célkitűzési rendszer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_Toc109047098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FD05E" w14:textId="77777777" w:rsidR="00E6086F" w:rsidRDefault="00E6086F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109047101" w:history="1"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8.</w:t>
            </w:r>
            <w:r>
              <w:rPr>
                <w:noProof/>
                <w:lang w:eastAsia="hu-HU"/>
              </w:rPr>
              <w:tab/>
            </w:r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Visszakövetelési szabályok és a halasztott kifizetés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_Toc109047101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97E1E" w14:textId="77777777" w:rsidR="00E6086F" w:rsidRDefault="00E6086F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109047102" w:history="1"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9.</w:t>
            </w:r>
            <w:r>
              <w:rPr>
                <w:noProof/>
                <w:lang w:eastAsia="hu-HU"/>
              </w:rPr>
              <w:tab/>
            </w:r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Munkaviszony létesítése, munkáltatói jog gyakorlója, munkaviszony megszűntetés esetén járó juttatások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_Toc109047102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801D0" w14:textId="77777777" w:rsidR="00E6086F" w:rsidRDefault="00E6086F">
          <w:pPr>
            <w:pStyle w:val="TJ1"/>
            <w:tabs>
              <w:tab w:val="left" w:pos="660"/>
              <w:tab w:val="right" w:leader="dot" w:pos="9062"/>
            </w:tabs>
            <w:rPr>
              <w:noProof/>
              <w:lang w:eastAsia="hu-HU"/>
            </w:rPr>
          </w:pPr>
          <w:hyperlink w:anchor="_Toc109047103" w:history="1"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10.</w:t>
            </w:r>
            <w:r>
              <w:rPr>
                <w:noProof/>
                <w:lang w:eastAsia="hu-HU"/>
              </w:rPr>
              <w:tab/>
            </w:r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A javadalmazási Politika közzététele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_Toc109047103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A7C40" w14:textId="77777777" w:rsidR="00E6086F" w:rsidRDefault="00E6086F">
          <w:pPr>
            <w:pStyle w:val="TJ1"/>
            <w:tabs>
              <w:tab w:val="left" w:pos="660"/>
              <w:tab w:val="right" w:leader="dot" w:pos="9062"/>
            </w:tabs>
            <w:rPr>
              <w:noProof/>
              <w:lang w:eastAsia="hu-HU"/>
            </w:rPr>
          </w:pPr>
          <w:hyperlink w:anchor="_Toc109047104" w:history="1"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11.</w:t>
            </w:r>
            <w:r>
              <w:rPr>
                <w:noProof/>
                <w:lang w:eastAsia="hu-HU"/>
              </w:rPr>
              <w:tab/>
            </w:r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A Javadalmazási Politika ellenőrzése és felülvizsgálata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_Toc109047104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D8E7A" w14:textId="77777777" w:rsidR="00E6086F" w:rsidRDefault="00E6086F">
          <w:pPr>
            <w:pStyle w:val="TJ1"/>
            <w:tabs>
              <w:tab w:val="left" w:pos="660"/>
              <w:tab w:val="right" w:leader="dot" w:pos="9062"/>
            </w:tabs>
            <w:rPr>
              <w:noProof/>
              <w:lang w:eastAsia="hu-HU"/>
            </w:rPr>
          </w:pPr>
          <w:hyperlink w:anchor="_Toc109047105" w:history="1"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12.</w:t>
            </w:r>
            <w:r>
              <w:rPr>
                <w:noProof/>
                <w:lang w:eastAsia="hu-HU"/>
              </w:rPr>
              <w:tab/>
            </w:r>
            <w:r w:rsidRPr="00EE6592">
              <w:rPr>
                <w:rStyle w:val="Hiperhivatkozs"/>
                <w:rFonts w:ascii="Times New Roman" w:hAnsi="Times New Roman"/>
                <w:b/>
                <w:noProof/>
              </w:rPr>
              <w:t>Záró rendelkezés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_Toc109047105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4E9D9" w14:textId="77777777" w:rsidR="00A55027" w:rsidRPr="0028364C" w:rsidRDefault="00F60BCB">
          <w:pPr>
            <w:rPr>
              <w:rFonts w:ascii="Times New Roman" w:hAnsi="Times New Roman" w:cs="Times New Roman"/>
            </w:rPr>
          </w:pPr>
          <w:r w:rsidRPr="0028364C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6BBECAB" w14:textId="2A9A9840" w:rsidR="009010ED" w:rsidRPr="0028364C" w:rsidRDefault="009010ED">
      <w:pPr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br w:type="page"/>
      </w:r>
    </w:p>
    <w:p w14:paraId="627336DC" w14:textId="1EE7A1FA" w:rsidR="009010ED" w:rsidRPr="0028364C" w:rsidRDefault="007871DF" w:rsidP="009019E6">
      <w:pPr>
        <w:pStyle w:val="Listaszerbekezds"/>
        <w:numPr>
          <w:ilvl w:val="0"/>
          <w:numId w:val="1"/>
        </w:numPr>
        <w:ind w:left="284" w:hanging="284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09047087"/>
      <w:r w:rsidRPr="0028364C">
        <w:rPr>
          <w:rFonts w:ascii="Times New Roman" w:hAnsi="Times New Roman" w:cs="Times New Roman"/>
          <w:b/>
          <w:sz w:val="28"/>
          <w:szCs w:val="28"/>
        </w:rPr>
        <w:lastRenderedPageBreak/>
        <w:t>A szabályzat célja és alapvetések</w:t>
      </w:r>
      <w:bookmarkEnd w:id="0"/>
    </w:p>
    <w:p w14:paraId="790C6E7C" w14:textId="77777777" w:rsidR="005E4C00" w:rsidRPr="0028364C" w:rsidRDefault="005E4C00" w:rsidP="005E4C00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</w:p>
    <w:p w14:paraId="6CF77FB5" w14:textId="4C34B602" w:rsidR="00505EA3" w:rsidRPr="0028364C" w:rsidRDefault="00320FFF" w:rsidP="009019E6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Javadal</w:t>
      </w:r>
      <w:r w:rsidR="00027393" w:rsidRPr="0028364C">
        <w:rPr>
          <w:rFonts w:ascii="Times New Roman" w:hAnsi="Times New Roman" w:cs="Times New Roman"/>
          <w:sz w:val="24"/>
          <w:szCs w:val="24"/>
        </w:rPr>
        <w:t>m</w:t>
      </w:r>
      <w:r w:rsidRPr="0028364C">
        <w:rPr>
          <w:rFonts w:ascii="Times New Roman" w:hAnsi="Times New Roman" w:cs="Times New Roman"/>
          <w:sz w:val="24"/>
          <w:szCs w:val="24"/>
        </w:rPr>
        <w:t>a</w:t>
      </w:r>
      <w:r w:rsidR="00027393" w:rsidRPr="0028364C">
        <w:rPr>
          <w:rFonts w:ascii="Times New Roman" w:hAnsi="Times New Roman" w:cs="Times New Roman"/>
          <w:sz w:val="24"/>
          <w:szCs w:val="24"/>
        </w:rPr>
        <w:t xml:space="preserve">zási Politika célja, hogy a Duna Takarék Bank </w:t>
      </w:r>
      <w:proofErr w:type="spellStart"/>
      <w:r w:rsidR="00027393" w:rsidRPr="0028364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505EA3" w:rsidRPr="0028364C">
        <w:rPr>
          <w:rFonts w:ascii="Times New Roman" w:hAnsi="Times New Roman" w:cs="Times New Roman"/>
          <w:sz w:val="24"/>
          <w:szCs w:val="24"/>
        </w:rPr>
        <w:t>.</w:t>
      </w:r>
      <w:r w:rsidR="00027393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505EA3" w:rsidRPr="0028364C">
        <w:rPr>
          <w:rFonts w:ascii="Times New Roman" w:hAnsi="Times New Roman" w:cs="Times New Roman"/>
          <w:sz w:val="24"/>
          <w:szCs w:val="24"/>
        </w:rPr>
        <w:t xml:space="preserve">(továbbiakban: </w:t>
      </w:r>
      <w:r w:rsidR="00D300CA">
        <w:rPr>
          <w:rFonts w:ascii="Times New Roman" w:hAnsi="Times New Roman" w:cs="Times New Roman"/>
          <w:sz w:val="24"/>
          <w:szCs w:val="24"/>
        </w:rPr>
        <w:t>Bank</w:t>
      </w:r>
      <w:r w:rsidR="00505EA3" w:rsidRPr="0028364C">
        <w:rPr>
          <w:rFonts w:ascii="Times New Roman" w:hAnsi="Times New Roman" w:cs="Times New Roman"/>
          <w:sz w:val="24"/>
          <w:szCs w:val="24"/>
        </w:rPr>
        <w:t>)</w:t>
      </w:r>
      <w:r w:rsidR="00ED380A" w:rsidRPr="0028364C">
        <w:rPr>
          <w:rFonts w:ascii="Times New Roman" w:hAnsi="Times New Roman" w:cs="Times New Roman"/>
          <w:sz w:val="24"/>
          <w:szCs w:val="24"/>
        </w:rPr>
        <w:t xml:space="preserve"> munkavállal</w:t>
      </w:r>
      <w:r w:rsidR="00027393" w:rsidRPr="0028364C">
        <w:rPr>
          <w:rFonts w:ascii="Times New Roman" w:hAnsi="Times New Roman" w:cs="Times New Roman"/>
          <w:sz w:val="24"/>
          <w:szCs w:val="24"/>
        </w:rPr>
        <w:t>ói</w:t>
      </w:r>
      <w:r w:rsidR="00505EA3" w:rsidRPr="0028364C">
        <w:rPr>
          <w:rFonts w:ascii="Times New Roman" w:hAnsi="Times New Roman" w:cs="Times New Roman"/>
          <w:sz w:val="24"/>
          <w:szCs w:val="24"/>
        </w:rPr>
        <w:t xml:space="preserve"> teljesí</w:t>
      </w:r>
      <w:r w:rsidR="00DD018B" w:rsidRPr="0028364C">
        <w:rPr>
          <w:rFonts w:ascii="Times New Roman" w:hAnsi="Times New Roman" w:cs="Times New Roman"/>
          <w:sz w:val="24"/>
          <w:szCs w:val="24"/>
        </w:rPr>
        <w:t>t</w:t>
      </w:r>
      <w:r w:rsidR="00505EA3" w:rsidRPr="0028364C">
        <w:rPr>
          <w:rFonts w:ascii="Times New Roman" w:hAnsi="Times New Roman" w:cs="Times New Roman"/>
          <w:sz w:val="24"/>
          <w:szCs w:val="24"/>
        </w:rPr>
        <w:t>ményének elismerése és ösztönzése összhangban álljon az alábbi alapelvekkel:</w:t>
      </w:r>
    </w:p>
    <w:p w14:paraId="6DEB3BE9" w14:textId="5CD9D731" w:rsidR="008B6141" w:rsidRPr="0028364C" w:rsidRDefault="008B6141" w:rsidP="00505E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támogassa </w:t>
      </w:r>
      <w:r w:rsidR="00A10053"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E1783E">
        <w:rPr>
          <w:rFonts w:ascii="Times New Roman" w:hAnsi="Times New Roman" w:cs="Times New Roman"/>
          <w:sz w:val="24"/>
          <w:szCs w:val="24"/>
        </w:rPr>
        <w:t>Bank</w:t>
      </w:r>
      <w:r w:rsidR="00E1783E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hAnsi="Times New Roman" w:cs="Times New Roman"/>
          <w:sz w:val="24"/>
          <w:szCs w:val="24"/>
        </w:rPr>
        <w:t>üzleti stratégiáját, célkitűzéseit</w:t>
      </w:r>
    </w:p>
    <w:p w14:paraId="74664EE8" w14:textId="18B07146" w:rsidR="00505EA3" w:rsidRPr="0028364C" w:rsidRDefault="00505EA3" w:rsidP="00505E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tükrözze a </w:t>
      </w:r>
      <w:r w:rsidR="00E1783E">
        <w:rPr>
          <w:rFonts w:ascii="Times New Roman" w:hAnsi="Times New Roman" w:cs="Times New Roman"/>
          <w:sz w:val="24"/>
          <w:szCs w:val="24"/>
        </w:rPr>
        <w:t>Bank</w:t>
      </w:r>
      <w:r w:rsidR="00E1783E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hAnsi="Times New Roman" w:cs="Times New Roman"/>
          <w:sz w:val="24"/>
          <w:szCs w:val="24"/>
        </w:rPr>
        <w:t>közép- és hosszú</w:t>
      </w:r>
      <w:r w:rsidR="00ED380A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hAnsi="Times New Roman" w:cs="Times New Roman"/>
          <w:sz w:val="24"/>
          <w:szCs w:val="24"/>
        </w:rPr>
        <w:t>távú szemléletét</w:t>
      </w:r>
      <w:r w:rsidR="008B6141" w:rsidRPr="0028364C">
        <w:rPr>
          <w:rFonts w:ascii="Times New Roman" w:hAnsi="Times New Roman" w:cs="Times New Roman"/>
          <w:sz w:val="24"/>
          <w:szCs w:val="24"/>
        </w:rPr>
        <w:t>, segítse annak megvalósulását</w:t>
      </w:r>
      <w:r w:rsidRPr="00283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DFE77" w14:textId="77777777" w:rsidR="00505EA3" w:rsidRPr="0028364C" w:rsidRDefault="00505EA3" w:rsidP="00505E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minden munkavállaló számára világos és átlátható legyen</w:t>
      </w:r>
    </w:p>
    <w:p w14:paraId="290DE25E" w14:textId="4D6B3175" w:rsidR="000361E7" w:rsidRDefault="00630A6A" w:rsidP="00794E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össz</w:t>
      </w:r>
      <w:r w:rsidR="00DD018B" w:rsidRPr="0028364C">
        <w:rPr>
          <w:rFonts w:ascii="Times New Roman" w:hAnsi="Times New Roman" w:cs="Times New Roman"/>
          <w:sz w:val="24"/>
          <w:szCs w:val="24"/>
        </w:rPr>
        <w:t>h</w:t>
      </w:r>
      <w:r w:rsidRPr="0028364C">
        <w:rPr>
          <w:rFonts w:ascii="Times New Roman" w:hAnsi="Times New Roman" w:cs="Times New Roman"/>
          <w:sz w:val="24"/>
          <w:szCs w:val="24"/>
        </w:rPr>
        <w:t xml:space="preserve">angban </w:t>
      </w:r>
      <w:r w:rsidR="000361E7">
        <w:rPr>
          <w:rFonts w:ascii="Times New Roman" w:hAnsi="Times New Roman" w:cs="Times New Roman"/>
          <w:sz w:val="24"/>
          <w:szCs w:val="24"/>
        </w:rPr>
        <w:t>álljon a Bank kockázati profiljával és elősegítse a hatékony kockázatkezelés érvényesülését</w:t>
      </w:r>
    </w:p>
    <w:p w14:paraId="58FD10FF" w14:textId="1CED3C89" w:rsidR="00505EA3" w:rsidRPr="0028364C" w:rsidRDefault="000361E7" w:rsidP="00794E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támogassa a Bankot a stabil tőkehelyzet elérésében és fenntartásában</w:t>
      </w:r>
    </w:p>
    <w:p w14:paraId="16CEC2CE" w14:textId="77777777" w:rsidR="00794ED2" w:rsidRPr="0028364C" w:rsidRDefault="00794ED2" w:rsidP="00794ED2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F81DE13" w14:textId="54234F1F" w:rsidR="00A10053" w:rsidRPr="0028364C" w:rsidRDefault="00A10053" w:rsidP="009019E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DF3F97">
        <w:rPr>
          <w:rFonts w:ascii="Times New Roman" w:hAnsi="Times New Roman" w:cs="Times New Roman"/>
          <w:sz w:val="24"/>
          <w:szCs w:val="24"/>
        </w:rPr>
        <w:t>Bank</w:t>
      </w:r>
      <w:r w:rsidR="00DF3F97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630A6A" w:rsidRPr="0028364C">
        <w:rPr>
          <w:rFonts w:ascii="Times New Roman" w:hAnsi="Times New Roman" w:cs="Times New Roman"/>
          <w:sz w:val="24"/>
          <w:szCs w:val="24"/>
        </w:rPr>
        <w:t>alapvető célja, hogy munkatársait</w:t>
      </w:r>
      <w:r w:rsidRPr="0028364C">
        <w:rPr>
          <w:rFonts w:ascii="Times New Roman" w:hAnsi="Times New Roman" w:cs="Times New Roman"/>
          <w:sz w:val="24"/>
          <w:szCs w:val="24"/>
        </w:rPr>
        <w:t xml:space="preserve"> a minőségi munkavégzés mellett a teljesítmény növelésére is ösztönözze és a dolgozókat érdekeltté tegye a</w:t>
      </w:r>
      <w:r w:rsidR="00630A6A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8338F1">
        <w:rPr>
          <w:rFonts w:ascii="Times New Roman" w:hAnsi="Times New Roman" w:cs="Times New Roman"/>
          <w:sz w:val="24"/>
          <w:szCs w:val="24"/>
        </w:rPr>
        <w:t xml:space="preserve">Bank </w:t>
      </w:r>
      <w:r w:rsidRPr="0028364C">
        <w:rPr>
          <w:rFonts w:ascii="Times New Roman" w:hAnsi="Times New Roman" w:cs="Times New Roman"/>
          <w:sz w:val="24"/>
          <w:szCs w:val="24"/>
        </w:rPr>
        <w:t>hosszú távú eredményes működés</w:t>
      </w:r>
      <w:r w:rsidR="008338F1">
        <w:rPr>
          <w:rFonts w:ascii="Times New Roman" w:hAnsi="Times New Roman" w:cs="Times New Roman"/>
          <w:sz w:val="24"/>
          <w:szCs w:val="24"/>
        </w:rPr>
        <w:t>é</w:t>
      </w:r>
      <w:r w:rsidRPr="0028364C">
        <w:rPr>
          <w:rFonts w:ascii="Times New Roman" w:hAnsi="Times New Roman" w:cs="Times New Roman"/>
          <w:sz w:val="24"/>
          <w:szCs w:val="24"/>
        </w:rPr>
        <w:t xml:space="preserve">ben. </w:t>
      </w:r>
    </w:p>
    <w:p w14:paraId="34317E22" w14:textId="54381196" w:rsidR="005E4C00" w:rsidRPr="0028364C" w:rsidRDefault="00E33CCC" w:rsidP="009019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azonosított</w:t>
      </w:r>
      <w:r w:rsidR="00A10053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0819DD">
        <w:rPr>
          <w:rFonts w:ascii="Times New Roman" w:hAnsi="Times New Roman" w:cs="Times New Roman"/>
          <w:sz w:val="24"/>
          <w:szCs w:val="24"/>
        </w:rPr>
        <w:t>munkavállaló</w:t>
      </w:r>
      <w:r w:rsidR="000819DD" w:rsidRPr="0028364C">
        <w:rPr>
          <w:rFonts w:ascii="Times New Roman" w:hAnsi="Times New Roman" w:cs="Times New Roman"/>
          <w:sz w:val="24"/>
          <w:szCs w:val="24"/>
        </w:rPr>
        <w:t xml:space="preserve">i </w:t>
      </w:r>
      <w:r w:rsidR="00A10053" w:rsidRPr="0028364C">
        <w:rPr>
          <w:rFonts w:ascii="Times New Roman" w:hAnsi="Times New Roman" w:cs="Times New Roman"/>
          <w:sz w:val="24"/>
          <w:szCs w:val="24"/>
        </w:rPr>
        <w:t>körbe</w:t>
      </w:r>
      <w:r w:rsidR="00630A6A" w:rsidRPr="0028364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30A6A" w:rsidRPr="0028364C">
        <w:rPr>
          <w:rFonts w:ascii="Times New Roman" w:hAnsi="Times New Roman" w:cs="Times New Roman"/>
          <w:sz w:val="24"/>
          <w:szCs w:val="24"/>
        </w:rPr>
        <w:t>lsd</w:t>
      </w:r>
      <w:proofErr w:type="spellEnd"/>
      <w:r w:rsidR="00630A6A" w:rsidRPr="0028364C">
        <w:rPr>
          <w:rFonts w:ascii="Times New Roman" w:hAnsi="Times New Roman" w:cs="Times New Roman"/>
          <w:sz w:val="24"/>
          <w:szCs w:val="24"/>
        </w:rPr>
        <w:t>. 5.</w:t>
      </w:r>
      <w:r w:rsidR="00392988" w:rsidRPr="0028364C">
        <w:rPr>
          <w:rFonts w:ascii="Times New Roman" w:hAnsi="Times New Roman" w:cs="Times New Roman"/>
          <w:sz w:val="24"/>
          <w:szCs w:val="24"/>
        </w:rPr>
        <w:t>1</w:t>
      </w:r>
      <w:r w:rsidR="00630A6A" w:rsidRPr="0028364C">
        <w:rPr>
          <w:rFonts w:ascii="Times New Roman" w:hAnsi="Times New Roman" w:cs="Times New Roman"/>
          <w:sz w:val="24"/>
          <w:szCs w:val="24"/>
        </w:rPr>
        <w:t>. -</w:t>
      </w:r>
      <w:r w:rsidR="00AD6213" w:rsidRPr="0028364C">
        <w:rPr>
          <w:rFonts w:ascii="Times New Roman" w:hAnsi="Times New Roman" w:cs="Times New Roman"/>
          <w:sz w:val="24"/>
          <w:szCs w:val="24"/>
        </w:rPr>
        <w:t xml:space="preserve"> tartozó vezető állású személyek</w:t>
      </w:r>
      <w:r w:rsidR="00A10053" w:rsidRPr="0028364C">
        <w:rPr>
          <w:rFonts w:ascii="Times New Roman" w:hAnsi="Times New Roman" w:cs="Times New Roman"/>
          <w:sz w:val="24"/>
          <w:szCs w:val="24"/>
        </w:rPr>
        <w:t xml:space="preserve"> és munkavállalók nem köthetnek olyan fedezeti ügyletet, amely a javadalmazásukra vonatkozó előírásokban foglalt kockázatvállalások hatásait kiküszöbölné, vagy harmadik személyre áthárítaná. </w:t>
      </w:r>
    </w:p>
    <w:p w14:paraId="69C0A24F" w14:textId="77777777" w:rsidR="00A10053" w:rsidRPr="0028364C" w:rsidRDefault="00A10053" w:rsidP="005E4C00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</w:p>
    <w:p w14:paraId="1E1FA73D" w14:textId="77777777" w:rsidR="006A34CA" w:rsidRPr="0028364C" w:rsidRDefault="00A10053" w:rsidP="009019E6">
      <w:pPr>
        <w:pStyle w:val="Listaszerbekezds"/>
        <w:numPr>
          <w:ilvl w:val="0"/>
          <w:numId w:val="1"/>
        </w:numPr>
        <w:ind w:left="426" w:hanging="426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109047088"/>
      <w:r w:rsidRPr="0028364C">
        <w:rPr>
          <w:rFonts w:ascii="Times New Roman" w:hAnsi="Times New Roman" w:cs="Times New Roman"/>
          <w:b/>
          <w:sz w:val="28"/>
          <w:szCs w:val="28"/>
        </w:rPr>
        <w:t>Fogalmi meghatározások</w:t>
      </w:r>
      <w:bookmarkEnd w:id="1"/>
    </w:p>
    <w:p w14:paraId="3F5F9046" w14:textId="77777777" w:rsidR="0087621C" w:rsidRPr="0028364C" w:rsidRDefault="0087621C" w:rsidP="009019E6">
      <w:pPr>
        <w:spacing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</w:t>
      </w:r>
      <w:r w:rsidRPr="0028364C">
        <w:rPr>
          <w:rFonts w:ascii="Times New Roman" w:eastAsiaTheme="minorHAnsi" w:hAnsi="Times New Roman" w:cs="Times New Roman"/>
          <w:sz w:val="24"/>
          <w:szCs w:val="24"/>
        </w:rPr>
        <w:t xml:space="preserve"> szabályzat helyes értelmezéséhez az alábbi fogalmakat kell figyelembe venni:</w:t>
      </w:r>
    </w:p>
    <w:p w14:paraId="27F0BDF5" w14:textId="06077BB7" w:rsidR="0087621C" w:rsidRPr="0028364C" w:rsidRDefault="0087621C" w:rsidP="0087621C">
      <w:pPr>
        <w:pStyle w:val="Listaszerbekezds"/>
        <w:numPr>
          <w:ilvl w:val="0"/>
          <w:numId w:val="4"/>
        </w:numPr>
        <w:spacing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8364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92F8A">
        <w:rPr>
          <w:rFonts w:ascii="Times New Roman" w:eastAsiaTheme="minorHAnsi" w:hAnsi="Times New Roman" w:cs="Times New Roman"/>
          <w:b/>
          <w:sz w:val="24"/>
          <w:szCs w:val="24"/>
        </w:rPr>
        <w:t>„Javadalmazás”</w:t>
      </w:r>
      <w:r w:rsidRPr="0028364C">
        <w:rPr>
          <w:rFonts w:ascii="Times New Roman" w:eastAsiaTheme="minorHAnsi" w:hAnsi="Times New Roman" w:cs="Times New Roman"/>
          <w:sz w:val="24"/>
          <w:szCs w:val="24"/>
        </w:rPr>
        <w:t xml:space="preserve"> jelentése: a </w:t>
      </w:r>
      <w:r w:rsidR="00EC4CE1">
        <w:rPr>
          <w:rFonts w:ascii="Times New Roman" w:eastAsiaTheme="minorHAnsi" w:hAnsi="Times New Roman" w:cs="Times New Roman"/>
          <w:sz w:val="24"/>
          <w:szCs w:val="24"/>
        </w:rPr>
        <w:t>Bank</w:t>
      </w:r>
      <w:r w:rsidR="00EC4CE1" w:rsidRPr="0028364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eastAsiaTheme="minorHAnsi" w:hAnsi="Times New Roman" w:cs="Times New Roman"/>
          <w:sz w:val="24"/>
          <w:szCs w:val="24"/>
        </w:rPr>
        <w:t>által a vezető állású személy, munkavállaló részére minden, a munkaviszony alapján közvetlenül vagy kö</w:t>
      </w:r>
      <w:r w:rsidR="00C37B40" w:rsidRPr="0028364C">
        <w:rPr>
          <w:rFonts w:ascii="Times New Roman" w:eastAsiaTheme="minorHAnsi" w:hAnsi="Times New Roman" w:cs="Times New Roman"/>
          <w:sz w:val="24"/>
          <w:szCs w:val="24"/>
        </w:rPr>
        <w:t>zvetve, pénzbeli, természetbeni</w:t>
      </w:r>
      <w:r w:rsidR="00AD72B5" w:rsidRPr="0028364C">
        <w:rPr>
          <w:rFonts w:ascii="Times New Roman" w:eastAsiaTheme="minorHAnsi" w:hAnsi="Times New Roman" w:cs="Times New Roman"/>
          <w:sz w:val="24"/>
          <w:szCs w:val="24"/>
        </w:rPr>
        <w:t>, vagyoni jog, vagy egyéb formában nyújtott juttatás</w:t>
      </w:r>
    </w:p>
    <w:p w14:paraId="59B425B0" w14:textId="6821D540" w:rsidR="00D71B37" w:rsidRPr="0028364C" w:rsidRDefault="005F41D5" w:rsidP="00D71B37">
      <w:pPr>
        <w:pStyle w:val="Listaszerbekezds"/>
        <w:numPr>
          <w:ilvl w:val="0"/>
          <w:numId w:val="4"/>
        </w:numPr>
        <w:spacing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8364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71B37" w:rsidRPr="00E92F8A">
        <w:rPr>
          <w:rFonts w:ascii="Times New Roman" w:eastAsiaTheme="minorHAnsi" w:hAnsi="Times New Roman" w:cs="Times New Roman"/>
          <w:b/>
          <w:sz w:val="24"/>
          <w:szCs w:val="24"/>
        </w:rPr>
        <w:t>„Prémium”</w:t>
      </w:r>
      <w:r w:rsidR="00D71B37" w:rsidRPr="0028364C">
        <w:rPr>
          <w:rFonts w:ascii="Times New Roman" w:eastAsiaTheme="minorHAnsi" w:hAnsi="Times New Roman" w:cs="Times New Roman"/>
          <w:sz w:val="24"/>
          <w:szCs w:val="24"/>
        </w:rPr>
        <w:t xml:space="preserve"> jelentése: </w:t>
      </w:r>
      <w:r w:rsidR="00F22AFC" w:rsidRPr="0028364C">
        <w:rPr>
          <w:rFonts w:ascii="Times New Roman" w:eastAsiaTheme="minorHAnsi" w:hAnsi="Times New Roman" w:cs="Times New Roman"/>
          <w:sz w:val="24"/>
          <w:szCs w:val="24"/>
        </w:rPr>
        <w:t xml:space="preserve">meghatározott </w:t>
      </w:r>
      <w:r w:rsidR="00D71B37" w:rsidRPr="0028364C">
        <w:rPr>
          <w:rFonts w:ascii="Times New Roman" w:eastAsiaTheme="minorHAnsi" w:hAnsi="Times New Roman" w:cs="Times New Roman"/>
          <w:sz w:val="24"/>
          <w:szCs w:val="24"/>
        </w:rPr>
        <w:t>személyi kör teljesítményjavadalmazása</w:t>
      </w:r>
    </w:p>
    <w:p w14:paraId="6F16A7ED" w14:textId="6F10AB0D" w:rsidR="0087621C" w:rsidRPr="0028364C" w:rsidRDefault="00D71B37" w:rsidP="00D71B37">
      <w:pPr>
        <w:pStyle w:val="Listaszerbekezds"/>
        <w:numPr>
          <w:ilvl w:val="0"/>
          <w:numId w:val="4"/>
        </w:numPr>
        <w:spacing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8364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7621C" w:rsidRPr="00E92F8A">
        <w:rPr>
          <w:rFonts w:ascii="Times New Roman" w:eastAsiaTheme="minorHAnsi" w:hAnsi="Times New Roman" w:cs="Times New Roman"/>
          <w:b/>
          <w:sz w:val="24"/>
          <w:szCs w:val="24"/>
        </w:rPr>
        <w:t>„</w:t>
      </w:r>
      <w:r w:rsidR="00E33CCC" w:rsidRPr="00E92F8A">
        <w:rPr>
          <w:rFonts w:ascii="Times New Roman" w:eastAsiaTheme="minorHAnsi" w:hAnsi="Times New Roman" w:cs="Times New Roman"/>
          <w:b/>
          <w:sz w:val="24"/>
          <w:szCs w:val="24"/>
        </w:rPr>
        <w:t xml:space="preserve">Célprémium” </w:t>
      </w:r>
      <w:r w:rsidR="00E33CCC" w:rsidRPr="0028364C">
        <w:rPr>
          <w:rFonts w:ascii="Times New Roman" w:eastAsiaTheme="minorHAnsi" w:hAnsi="Times New Roman" w:cs="Times New Roman"/>
          <w:sz w:val="24"/>
          <w:szCs w:val="24"/>
        </w:rPr>
        <w:t xml:space="preserve">jelentése: </w:t>
      </w:r>
      <w:r w:rsidR="00CA491E">
        <w:rPr>
          <w:rFonts w:ascii="Times New Roman" w:eastAsiaTheme="minorHAnsi" w:hAnsi="Times New Roman" w:cs="Times New Roman"/>
          <w:sz w:val="24"/>
          <w:szCs w:val="24"/>
        </w:rPr>
        <w:t>előre meghatározott cél kitűzésével realizált</w:t>
      </w:r>
      <w:r w:rsidR="0087621C" w:rsidRPr="0028364C">
        <w:rPr>
          <w:rFonts w:ascii="Times New Roman" w:eastAsiaTheme="minorHAnsi" w:hAnsi="Times New Roman" w:cs="Times New Roman"/>
          <w:sz w:val="24"/>
          <w:szCs w:val="24"/>
        </w:rPr>
        <w:t xml:space="preserve"> üzleti és támogató munkavállalók teljesítményjavadalmazása</w:t>
      </w:r>
    </w:p>
    <w:p w14:paraId="53352AE1" w14:textId="77777777" w:rsidR="00630A6A" w:rsidRPr="0028364C" w:rsidRDefault="0087621C" w:rsidP="0087621C">
      <w:pPr>
        <w:pStyle w:val="Listaszerbekezds"/>
        <w:numPr>
          <w:ilvl w:val="0"/>
          <w:numId w:val="4"/>
        </w:numPr>
        <w:spacing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2F8A">
        <w:rPr>
          <w:rFonts w:ascii="Times New Roman" w:eastAsiaTheme="minorHAnsi" w:hAnsi="Times New Roman" w:cs="Times New Roman"/>
          <w:b/>
          <w:sz w:val="24"/>
          <w:szCs w:val="24"/>
        </w:rPr>
        <w:t>„Jutalék”</w:t>
      </w:r>
      <w:r w:rsidRPr="0028364C">
        <w:rPr>
          <w:rFonts w:ascii="Times New Roman" w:eastAsiaTheme="minorHAnsi" w:hAnsi="Times New Roman" w:cs="Times New Roman"/>
          <w:sz w:val="24"/>
          <w:szCs w:val="24"/>
        </w:rPr>
        <w:t xml:space="preserve"> jelentése: termékek értékesítéséhez, kezeléséhez kapcs</w:t>
      </w:r>
      <w:r w:rsidR="00630A6A" w:rsidRPr="0028364C">
        <w:rPr>
          <w:rFonts w:ascii="Times New Roman" w:eastAsiaTheme="minorHAnsi" w:hAnsi="Times New Roman" w:cs="Times New Roman"/>
          <w:sz w:val="24"/>
          <w:szCs w:val="24"/>
        </w:rPr>
        <w:t>olódó teljesítményjavadalmazás,</w:t>
      </w:r>
    </w:p>
    <w:p w14:paraId="39BAD647" w14:textId="77777777" w:rsidR="0087621C" w:rsidRPr="0028364C" w:rsidRDefault="0087621C" w:rsidP="0087621C">
      <w:pPr>
        <w:pStyle w:val="Listaszerbekezds"/>
        <w:numPr>
          <w:ilvl w:val="0"/>
          <w:numId w:val="4"/>
        </w:numPr>
        <w:spacing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2F8A">
        <w:rPr>
          <w:rFonts w:ascii="Times New Roman" w:eastAsiaTheme="minorHAnsi" w:hAnsi="Times New Roman" w:cs="Times New Roman"/>
          <w:b/>
          <w:sz w:val="24"/>
          <w:szCs w:val="24"/>
        </w:rPr>
        <w:t>„Jutalom”</w:t>
      </w:r>
      <w:r w:rsidRPr="0028364C">
        <w:rPr>
          <w:rFonts w:ascii="Times New Roman" w:eastAsiaTheme="minorHAnsi" w:hAnsi="Times New Roman" w:cs="Times New Roman"/>
          <w:sz w:val="24"/>
          <w:szCs w:val="24"/>
        </w:rPr>
        <w:t xml:space="preserve"> jelentése: a dolgozók mun</w:t>
      </w:r>
      <w:r w:rsidR="00630A6A" w:rsidRPr="0028364C">
        <w:rPr>
          <w:rFonts w:ascii="Times New Roman" w:eastAsiaTheme="minorHAnsi" w:hAnsi="Times New Roman" w:cs="Times New Roman"/>
          <w:sz w:val="24"/>
          <w:szCs w:val="24"/>
        </w:rPr>
        <w:t xml:space="preserve">kájának utólagos </w:t>
      </w:r>
      <w:r w:rsidRPr="0028364C">
        <w:rPr>
          <w:rFonts w:ascii="Times New Roman" w:eastAsiaTheme="minorHAnsi" w:hAnsi="Times New Roman" w:cs="Times New Roman"/>
          <w:sz w:val="24"/>
          <w:szCs w:val="24"/>
        </w:rPr>
        <w:t>elismerése</w:t>
      </w:r>
    </w:p>
    <w:p w14:paraId="4FBB21C8" w14:textId="6D7EFF7D" w:rsidR="00120EB0" w:rsidRPr="0028364C" w:rsidRDefault="00120EB0" w:rsidP="00120EB0">
      <w:pPr>
        <w:pStyle w:val="Listaszerbekezds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8A">
        <w:rPr>
          <w:rFonts w:ascii="Times New Roman" w:hAnsi="Times New Roman" w:cs="Times New Roman"/>
          <w:b/>
          <w:sz w:val="24"/>
          <w:szCs w:val="24"/>
        </w:rPr>
        <w:t xml:space="preserve">„Alapjavadalmazás” </w:t>
      </w:r>
      <w:r w:rsidRPr="0028364C">
        <w:rPr>
          <w:rFonts w:ascii="Times New Roman" w:hAnsi="Times New Roman" w:cs="Times New Roman"/>
          <w:sz w:val="24"/>
          <w:szCs w:val="24"/>
        </w:rPr>
        <w:t xml:space="preserve">jelentése: a javadalmazás azon része, melyet a </w:t>
      </w:r>
      <w:r w:rsidR="00EC4CE1">
        <w:rPr>
          <w:rFonts w:ascii="Times New Roman" w:hAnsi="Times New Roman" w:cs="Times New Roman"/>
          <w:sz w:val="24"/>
          <w:szCs w:val="24"/>
        </w:rPr>
        <w:t>Bank</w:t>
      </w:r>
      <w:r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3F6DEE" w:rsidRPr="003F6DEE">
        <w:rPr>
          <w:rFonts w:ascii="Times New Roman" w:hAnsi="Times New Roman" w:cs="Times New Roman"/>
          <w:sz w:val="24"/>
          <w:szCs w:val="24"/>
        </w:rPr>
        <w:t xml:space="preserve">és </w:t>
      </w:r>
      <w:r w:rsidRPr="003F6DEE">
        <w:rPr>
          <w:rFonts w:ascii="Times New Roman" w:hAnsi="Times New Roman" w:cs="Times New Roman"/>
          <w:sz w:val="24"/>
          <w:szCs w:val="24"/>
        </w:rPr>
        <w:t xml:space="preserve">a vezető állású személy/munkavállaló </w:t>
      </w:r>
      <w:r w:rsidRPr="0028364C">
        <w:rPr>
          <w:rFonts w:ascii="Times New Roman" w:hAnsi="Times New Roman" w:cs="Times New Roman"/>
          <w:sz w:val="24"/>
          <w:szCs w:val="24"/>
        </w:rPr>
        <w:t>részére munkabérként rendszeresen kifizet a munkaszerződés alapján, és amely megfelelően tükrözi a tisztség betöltéséhez szükséges szakmai tapasztalatokat és felelősséget, ideértve minden olyan juttatást, amelyet más munkavállaló is megkap a vonatkozó belső szabályzatok és eljárások szerint.</w:t>
      </w:r>
    </w:p>
    <w:p w14:paraId="590BD424" w14:textId="3C1C62A9" w:rsidR="00120EB0" w:rsidRDefault="00120EB0" w:rsidP="00120EB0">
      <w:pPr>
        <w:pStyle w:val="Listaszerbekezds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Pr="00E92F8A">
        <w:rPr>
          <w:rFonts w:ascii="Times New Roman" w:hAnsi="Times New Roman" w:cs="Times New Roman"/>
          <w:b/>
          <w:sz w:val="24"/>
          <w:szCs w:val="24"/>
        </w:rPr>
        <w:t>„Teljesítményjavadalmazás”</w:t>
      </w:r>
      <w:r w:rsidRPr="0028364C">
        <w:rPr>
          <w:rFonts w:ascii="Times New Roman" w:hAnsi="Times New Roman" w:cs="Times New Roman"/>
          <w:sz w:val="24"/>
          <w:szCs w:val="24"/>
        </w:rPr>
        <w:t xml:space="preserve"> jelentése: a javadalmazás azon része, amelyet a </w:t>
      </w:r>
      <w:r w:rsidR="00EC4CE1">
        <w:rPr>
          <w:rFonts w:ascii="Times New Roman" w:hAnsi="Times New Roman" w:cs="Times New Roman"/>
          <w:sz w:val="24"/>
          <w:szCs w:val="24"/>
        </w:rPr>
        <w:t xml:space="preserve">Bank </w:t>
      </w:r>
      <w:r w:rsidRPr="0028364C">
        <w:rPr>
          <w:rFonts w:ascii="Times New Roman" w:hAnsi="Times New Roman" w:cs="Times New Roman"/>
          <w:sz w:val="24"/>
          <w:szCs w:val="24"/>
        </w:rPr>
        <w:t>az alapjavadalmazáson felül a vezető állású személy és a munkavállaló részére adhat, a munkaszerződésében meghatározottakat meghaladó teljesítmény nyújtás, vagy abban nem rögzített feladat ellátás esetén.</w:t>
      </w:r>
    </w:p>
    <w:p w14:paraId="2CE62427" w14:textId="77777777" w:rsidR="0021707B" w:rsidRDefault="0021707B" w:rsidP="0021707B">
      <w:pPr>
        <w:pStyle w:val="Listaszerbekezds"/>
        <w:numPr>
          <w:ilvl w:val="0"/>
          <w:numId w:val="4"/>
        </w:numPr>
        <w:spacing w:after="24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</w:t>
      </w:r>
      <w:r w:rsidRPr="00C94161">
        <w:rPr>
          <w:rFonts w:ascii="Times New Roman" w:hAnsi="Times New Roman" w:cs="Times New Roman"/>
          <w:b/>
          <w:sz w:val="24"/>
          <w:szCs w:val="24"/>
        </w:rPr>
        <w:t>ónuszkeret</w:t>
      </w:r>
      <w:r>
        <w:rPr>
          <w:rFonts w:ascii="Times New Roman" w:hAnsi="Times New Roman" w:cs="Times New Roman"/>
          <w:sz w:val="24"/>
          <w:szCs w:val="24"/>
        </w:rPr>
        <w:t xml:space="preserve"> jelentése: annak a teljesítményjavadalmazásnak az összege, amely a Bank vagy a Bank üzleti egységének szintjén meghatározott megállapítási eljárás során megállapítható,</w:t>
      </w:r>
    </w:p>
    <w:p w14:paraId="6DC388ED" w14:textId="77777777" w:rsidR="0021707B" w:rsidRDefault="0021707B" w:rsidP="0021707B">
      <w:pPr>
        <w:pStyle w:val="Listaszerbekezds"/>
        <w:numPr>
          <w:ilvl w:val="0"/>
          <w:numId w:val="4"/>
        </w:numPr>
        <w:spacing w:after="24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DA7B6D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94161">
        <w:rPr>
          <w:rFonts w:ascii="Times New Roman" w:hAnsi="Times New Roman" w:cs="Times New Roman"/>
          <w:b/>
          <w:sz w:val="24"/>
          <w:szCs w:val="24"/>
        </w:rPr>
        <w:t>Azonosított munkavállaló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DA7B6D">
        <w:rPr>
          <w:rFonts w:ascii="Times New Roman" w:hAnsi="Times New Roman" w:cs="Times New Roman"/>
          <w:sz w:val="24"/>
          <w:szCs w:val="24"/>
        </w:rPr>
        <w:t xml:space="preserve"> jelentése: az a munkavállaló, akinek a szakmai tevékenysége az (EU) 2021/923 rendeletben meghatározott kritériumokkal és – ha adott esetben szükséges, azon munkavállalók teljes körű azonosítása céljából, akiknek a szakmai tevékenysége lényeges hatást </w:t>
      </w:r>
      <w:r w:rsidRPr="00DA7B6D">
        <w:rPr>
          <w:rFonts w:ascii="Times New Roman" w:hAnsi="Times New Roman" w:cs="Times New Roman"/>
          <w:sz w:val="24"/>
          <w:szCs w:val="24"/>
        </w:rPr>
        <w:lastRenderedPageBreak/>
        <w:t>gyakorol a kockázati profilra – az intézmény által meghatározott kritériumokkal összhangban jelentős hatást gyakorol az intézmény egyedi szintű vagy a csoport összevont alapú kockázati profiljára;</w:t>
      </w:r>
    </w:p>
    <w:p w14:paraId="1405C2F0" w14:textId="0168D154" w:rsidR="0021707B" w:rsidRDefault="0021707B" w:rsidP="0021707B">
      <w:pPr>
        <w:pStyle w:val="Listaszerbekezds"/>
        <w:numPr>
          <w:ilvl w:val="0"/>
          <w:numId w:val="4"/>
        </w:numPr>
        <w:spacing w:after="24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„</w:t>
      </w:r>
      <w:r w:rsidRPr="00C94161">
        <w:rPr>
          <w:rFonts w:ascii="Times New Roman" w:hAnsi="Times New Roman" w:cs="Times New Roman"/>
          <w:b/>
          <w:sz w:val="24"/>
          <w:szCs w:val="24"/>
        </w:rPr>
        <w:t>végkielégítés</w:t>
      </w:r>
      <w:r>
        <w:rPr>
          <w:rFonts w:ascii="Times New Roman" w:hAnsi="Times New Roman" w:cs="Times New Roman"/>
          <w:sz w:val="24"/>
          <w:szCs w:val="24"/>
        </w:rPr>
        <w:t xml:space="preserve">” jelentése: </w:t>
      </w:r>
      <w:r w:rsidRPr="00BB30EB">
        <w:rPr>
          <w:rFonts w:ascii="Times New Roman" w:hAnsi="Times New Roman" w:cs="Times New Roman"/>
          <w:sz w:val="24"/>
          <w:szCs w:val="24"/>
        </w:rPr>
        <w:t>az Mt. 77. §</w:t>
      </w:r>
      <w:proofErr w:type="spellStart"/>
      <w:r w:rsidRPr="00BB30EB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BB30EB">
        <w:rPr>
          <w:rFonts w:ascii="Times New Roman" w:hAnsi="Times New Roman" w:cs="Times New Roman"/>
          <w:sz w:val="24"/>
          <w:szCs w:val="24"/>
        </w:rPr>
        <w:t xml:space="preserve"> meghatározott kifizetés, a felmondási időszakhoz kötődő szokásos javadalmazási kifizetések kivételével;</w:t>
      </w:r>
    </w:p>
    <w:p w14:paraId="7F16FD6E" w14:textId="7FD4F9A9" w:rsidR="00524585" w:rsidRDefault="0021707B" w:rsidP="0040168E">
      <w:pPr>
        <w:pStyle w:val="Listaszerbekezds"/>
        <w:numPr>
          <w:ilvl w:val="0"/>
          <w:numId w:val="4"/>
        </w:numPr>
        <w:spacing w:after="24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„</w:t>
      </w:r>
      <w:r w:rsidRPr="00C94161">
        <w:rPr>
          <w:rFonts w:ascii="Times New Roman" w:hAnsi="Times New Roman" w:cs="Times New Roman"/>
          <w:b/>
          <w:sz w:val="24"/>
          <w:szCs w:val="24"/>
        </w:rPr>
        <w:t>személyzet</w:t>
      </w:r>
      <w:r>
        <w:rPr>
          <w:rFonts w:ascii="Times New Roman" w:hAnsi="Times New Roman" w:cs="Times New Roman"/>
          <w:sz w:val="24"/>
          <w:szCs w:val="24"/>
        </w:rPr>
        <w:t xml:space="preserve">” jelentése: </w:t>
      </w:r>
      <w:r w:rsidRPr="001F64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Banknál dolgozó összes </w:t>
      </w:r>
      <w:r w:rsidRPr="001F6418">
        <w:rPr>
          <w:rFonts w:ascii="Times New Roman" w:hAnsi="Times New Roman" w:cs="Times New Roman"/>
          <w:sz w:val="24"/>
          <w:szCs w:val="24"/>
        </w:rPr>
        <w:t xml:space="preserve">munkavállaló, valamint </w:t>
      </w:r>
      <w:r>
        <w:rPr>
          <w:rFonts w:ascii="Times New Roman" w:hAnsi="Times New Roman" w:cs="Times New Roman"/>
          <w:sz w:val="24"/>
          <w:szCs w:val="24"/>
        </w:rPr>
        <w:t xml:space="preserve">a Bank </w:t>
      </w:r>
      <w:r w:rsidRPr="001F6418">
        <w:rPr>
          <w:rFonts w:ascii="Times New Roman" w:hAnsi="Times New Roman" w:cs="Times New Roman"/>
          <w:sz w:val="24"/>
          <w:szCs w:val="24"/>
        </w:rPr>
        <w:t>irányítási és felügyeleti jogkörrel rendelkező vezető testületeinek összes tagj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87ABB09" w14:textId="77777777" w:rsidR="0040168E" w:rsidRPr="0040168E" w:rsidRDefault="0040168E" w:rsidP="0040168E">
      <w:pPr>
        <w:pStyle w:val="Listaszerbekezds"/>
        <w:spacing w:after="24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7819DFCF" w14:textId="77777777" w:rsidR="00376751" w:rsidRPr="0028364C" w:rsidRDefault="00376751" w:rsidP="009019E6">
      <w:pPr>
        <w:pStyle w:val="Listaszerbekezds"/>
        <w:numPr>
          <w:ilvl w:val="0"/>
          <w:numId w:val="1"/>
        </w:numPr>
        <w:ind w:left="426" w:hanging="426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109047089"/>
      <w:r w:rsidRPr="0028364C">
        <w:rPr>
          <w:rFonts w:ascii="Times New Roman" w:hAnsi="Times New Roman" w:cs="Times New Roman"/>
          <w:b/>
          <w:sz w:val="28"/>
          <w:szCs w:val="28"/>
        </w:rPr>
        <w:t>Kapcsolódó jogszabályok</w:t>
      </w:r>
      <w:r w:rsidR="00F16D74" w:rsidRPr="0028364C">
        <w:rPr>
          <w:rFonts w:ascii="Times New Roman" w:hAnsi="Times New Roman" w:cs="Times New Roman"/>
          <w:b/>
          <w:sz w:val="28"/>
          <w:szCs w:val="28"/>
        </w:rPr>
        <w:t xml:space="preserve"> és belső szabályzatok</w:t>
      </w:r>
      <w:bookmarkEnd w:id="2"/>
    </w:p>
    <w:p w14:paraId="13ABEDA8" w14:textId="77777777" w:rsidR="00F16D74" w:rsidRPr="0028364C" w:rsidRDefault="00F16D74" w:rsidP="009019E6">
      <w:pPr>
        <w:spacing w:after="0" w:line="240" w:lineRule="auto"/>
        <w:ind w:left="360" w:hanging="360"/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28364C">
        <w:rPr>
          <w:rFonts w:ascii="Times New Roman" w:eastAsiaTheme="minorHAnsi" w:hAnsi="Times New Roman" w:cs="Times New Roman"/>
          <w:sz w:val="24"/>
          <w:szCs w:val="24"/>
          <w:u w:val="single"/>
        </w:rPr>
        <w:t>Jogszabályok:</w:t>
      </w:r>
    </w:p>
    <w:p w14:paraId="45C8F769" w14:textId="77777777" w:rsidR="00376751" w:rsidRPr="0028364C" w:rsidRDefault="00376751" w:rsidP="003767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8364C">
        <w:rPr>
          <w:rFonts w:ascii="Times New Roman" w:eastAsiaTheme="minorHAnsi" w:hAnsi="Times New Roman" w:cs="Times New Roman"/>
          <w:sz w:val="24"/>
          <w:szCs w:val="24"/>
        </w:rPr>
        <w:t>A hitelintézetekről és a pénzügyi vállalkozásokról szóló 2013. évi CCXXXVII. évi törvény (Hpt.)</w:t>
      </w:r>
    </w:p>
    <w:p w14:paraId="49C84585" w14:textId="2801B7CD" w:rsidR="00376751" w:rsidRPr="0028364C" w:rsidRDefault="00376751" w:rsidP="003767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0401951" w14:textId="12E56B30" w:rsidR="004439BB" w:rsidRPr="004439BB" w:rsidRDefault="004439BB" w:rsidP="003767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439BB">
        <w:rPr>
          <w:rFonts w:ascii="Times New Roman" w:eastAsiaTheme="minorHAnsi" w:hAnsi="Times New Roman" w:cs="Times New Roman"/>
          <w:sz w:val="24"/>
          <w:szCs w:val="24"/>
        </w:rPr>
        <w:t xml:space="preserve">A Magyar Nemzeti Bank </w:t>
      </w:r>
      <w:r w:rsidR="00404F12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4439BB">
        <w:rPr>
          <w:rFonts w:ascii="Times New Roman" w:eastAsiaTheme="minorHAnsi" w:hAnsi="Times New Roman" w:cs="Times New Roman"/>
          <w:sz w:val="24"/>
          <w:szCs w:val="24"/>
        </w:rPr>
        <w:t xml:space="preserve">3/2018 (III.6.) számú ajánlása </w:t>
      </w:r>
      <w:r w:rsidRPr="00B40543">
        <w:rPr>
          <w:bCs/>
          <w:sz w:val="24"/>
          <w:szCs w:val="24"/>
        </w:rPr>
        <w:t>a lakossági banki termékek és szolgáltatások értékesítéséhez kapcsolódó javadalmazási politikáról és az ezzel kapcsolatos belső eljárási szabályokról</w:t>
      </w:r>
      <w:r w:rsidR="00A32477">
        <w:rPr>
          <w:bCs/>
          <w:sz w:val="24"/>
          <w:szCs w:val="24"/>
        </w:rPr>
        <w:t xml:space="preserve"> </w:t>
      </w:r>
    </w:p>
    <w:p w14:paraId="18C4B0C8" w14:textId="1DFFDE54" w:rsidR="00A32477" w:rsidRPr="00E92F8A" w:rsidRDefault="00A32477" w:rsidP="00E92F8A">
      <w:pPr>
        <w:pStyle w:val="Default"/>
        <w:numPr>
          <w:ilvl w:val="0"/>
          <w:numId w:val="2"/>
        </w:numPr>
        <w:rPr>
          <w:rFonts w:eastAsiaTheme="minorEastAsia"/>
          <w:sz w:val="23"/>
          <w:szCs w:val="23"/>
        </w:rPr>
      </w:pPr>
      <w:r w:rsidRPr="00E92F8A">
        <w:rPr>
          <w:b/>
          <w:bCs/>
          <w:sz w:val="23"/>
          <w:szCs w:val="23"/>
        </w:rPr>
        <w:t>A Magyar Nemzeti Bank 4/2022. (IV.8.) számú ajánlása a hitelintézetekről és a pénzügyi vállalkozásokról szóló törvény szerinti javadalmazási politika alkalmazásáról</w:t>
      </w:r>
    </w:p>
    <w:p w14:paraId="5D73C17F" w14:textId="77777777" w:rsidR="00376751" w:rsidRPr="0028364C" w:rsidRDefault="00376751" w:rsidP="003767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8364C">
        <w:rPr>
          <w:rFonts w:ascii="Times New Roman" w:eastAsiaTheme="minorHAnsi" w:hAnsi="Times New Roman" w:cs="Times New Roman"/>
          <w:sz w:val="24"/>
          <w:szCs w:val="24"/>
        </w:rPr>
        <w:t xml:space="preserve">A hitelintézetek tevékenységéhez való hozzáférésről és a hitelintézetek és befektetési vállalkozások </w:t>
      </w:r>
      <w:proofErr w:type="spellStart"/>
      <w:r w:rsidRPr="0028364C">
        <w:rPr>
          <w:rFonts w:ascii="Times New Roman" w:eastAsiaTheme="minorHAnsi" w:hAnsi="Times New Roman" w:cs="Times New Roman"/>
          <w:sz w:val="24"/>
          <w:szCs w:val="24"/>
        </w:rPr>
        <w:t>prudenciális</w:t>
      </w:r>
      <w:proofErr w:type="spellEnd"/>
      <w:r w:rsidRPr="0028364C">
        <w:rPr>
          <w:rFonts w:ascii="Times New Roman" w:eastAsiaTheme="minorHAnsi" w:hAnsi="Times New Roman" w:cs="Times New Roman"/>
          <w:sz w:val="24"/>
          <w:szCs w:val="24"/>
        </w:rPr>
        <w:t xml:space="preserve"> felügyeletéről, a 2002/87/EK irányelv módosításáról, a 2006/48/EK és a 2006/49/EK irányelv hatályon kívül helyezéséről szóló az Európai Parlament és a Tanács 2013. június 26-i 2013/36/EU irányelve (CRD IV, melyet Magyarország a </w:t>
      </w:r>
      <w:proofErr w:type="spellStart"/>
      <w:r w:rsidRPr="0028364C">
        <w:rPr>
          <w:rFonts w:ascii="Times New Roman" w:eastAsiaTheme="minorHAnsi" w:hAnsi="Times New Roman" w:cs="Times New Roman"/>
          <w:sz w:val="24"/>
          <w:szCs w:val="24"/>
        </w:rPr>
        <w:t>Hpt-ben</w:t>
      </w:r>
      <w:proofErr w:type="spellEnd"/>
      <w:r w:rsidRPr="0028364C">
        <w:rPr>
          <w:rFonts w:ascii="Times New Roman" w:eastAsiaTheme="minorHAnsi" w:hAnsi="Times New Roman" w:cs="Times New Roman"/>
          <w:sz w:val="24"/>
          <w:szCs w:val="24"/>
        </w:rPr>
        <w:t xml:space="preserve"> implementált)</w:t>
      </w:r>
    </w:p>
    <w:p w14:paraId="3CD318FA" w14:textId="53EB1A14" w:rsidR="00376751" w:rsidRPr="0028364C" w:rsidRDefault="00376751" w:rsidP="003767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8364C">
        <w:rPr>
          <w:rFonts w:ascii="Times New Roman" w:eastAsiaTheme="minorHAnsi" w:hAnsi="Times New Roman" w:cs="Times New Roman"/>
          <w:sz w:val="24"/>
          <w:szCs w:val="24"/>
        </w:rPr>
        <w:t xml:space="preserve">A hitelintézetekre és befektetési vállalkozásokra vonatkozó </w:t>
      </w:r>
      <w:proofErr w:type="spellStart"/>
      <w:r w:rsidRPr="0028364C">
        <w:rPr>
          <w:rFonts w:ascii="Times New Roman" w:eastAsiaTheme="minorHAnsi" w:hAnsi="Times New Roman" w:cs="Times New Roman"/>
          <w:sz w:val="24"/>
          <w:szCs w:val="24"/>
        </w:rPr>
        <w:t>prudenciális</w:t>
      </w:r>
      <w:proofErr w:type="spellEnd"/>
      <w:r w:rsidRPr="0028364C">
        <w:rPr>
          <w:rFonts w:ascii="Times New Roman" w:eastAsiaTheme="minorHAnsi" w:hAnsi="Times New Roman" w:cs="Times New Roman"/>
          <w:sz w:val="24"/>
          <w:szCs w:val="24"/>
        </w:rPr>
        <w:t xml:space="preserve"> követelményekről és a 648/2012/EU rendelet módosításáról </w:t>
      </w:r>
      <w:r w:rsidR="006855D9">
        <w:rPr>
          <w:rFonts w:ascii="Times New Roman" w:eastAsiaTheme="minorHAnsi" w:hAnsi="Times New Roman" w:cs="Times New Roman"/>
          <w:sz w:val="24"/>
          <w:szCs w:val="24"/>
        </w:rPr>
        <w:t>szóló a</w:t>
      </w:r>
      <w:r w:rsidRPr="0028364C">
        <w:rPr>
          <w:rFonts w:ascii="Times New Roman" w:eastAsiaTheme="minorHAnsi" w:hAnsi="Times New Roman" w:cs="Times New Roman"/>
          <w:sz w:val="24"/>
          <w:szCs w:val="24"/>
        </w:rPr>
        <w:t>z Európai Parlament és a Tanács 575/2013/EU rendelete (a továbbiakban: CRR vagy 575/2013/EU rendelet)</w:t>
      </w:r>
    </w:p>
    <w:p w14:paraId="46C47A12" w14:textId="77777777" w:rsidR="00A32477" w:rsidRDefault="00376751" w:rsidP="003767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462/2015. (XII. 29.) sz., a jelzáloghitel nyújtásával, közvetítéssel kapcsolatos eljárásra, a hiteltanácsadásra és a foglalkoztatottak szakmai ismereteire vonatkozó szabályokról szóló Kormányrendelet </w:t>
      </w:r>
    </w:p>
    <w:p w14:paraId="75B4D938" w14:textId="1D5EDBC7" w:rsidR="00376751" w:rsidRPr="0028364C" w:rsidRDefault="00A32477" w:rsidP="003767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</w:t>
      </w:r>
      <w:r w:rsidR="003F6DEE" w:rsidRPr="00E92F8A">
        <w:rPr>
          <w:rStyle w:val="lawnum"/>
          <w:rFonts w:ascii="Times New Roman" w:hAnsi="Times New Roman" w:cs="Times New Roman"/>
          <w:bCs/>
          <w:sz w:val="24"/>
          <w:szCs w:val="24"/>
        </w:rPr>
        <w:t xml:space="preserve">2021. március 25-i </w:t>
      </w:r>
      <w:r>
        <w:rPr>
          <w:rFonts w:ascii="Times New Roman" w:hAnsi="Times New Roman" w:cs="Times New Roman"/>
          <w:sz w:val="24"/>
          <w:szCs w:val="24"/>
        </w:rPr>
        <w:t xml:space="preserve">(EU) 2021/923 felhatalmazáson alapuló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rendelete</w:t>
      </w:r>
      <w:r w:rsidR="003F6DEE" w:rsidRPr="00E92F8A">
        <w:rPr>
          <w:rStyle w:val="desc"/>
          <w:rFonts w:ascii="Times New Roman" w:hAnsi="Times New Roman" w:cs="Times New Roman"/>
          <w:bCs/>
          <w:sz w:val="24"/>
          <w:szCs w:val="24"/>
        </w:rPr>
        <w:t>az</w:t>
      </w:r>
      <w:proofErr w:type="spellEnd"/>
      <w:r w:rsidR="003F6DEE" w:rsidRPr="00E92F8A">
        <w:rPr>
          <w:rStyle w:val="desc"/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tgtFrame="_blank" w:history="1">
        <w:r w:rsidR="003F6DEE" w:rsidRPr="00E92F8A">
          <w:rPr>
            <w:rStyle w:val="Hiperhivatkozs"/>
            <w:rFonts w:ascii="Times New Roman" w:hAnsi="Times New Roman"/>
            <w:bCs/>
            <w:sz w:val="24"/>
            <w:szCs w:val="24"/>
            <w:u w:val="none"/>
          </w:rPr>
          <w:t>Európai Parlament és a Tanács 2013/36/EU irányelvének</w:t>
        </w:r>
      </w:hyperlink>
      <w:r w:rsidR="003F6DEE" w:rsidRPr="00E92F8A">
        <w:rPr>
          <w:rStyle w:val="desc"/>
          <w:rFonts w:ascii="Times New Roman" w:hAnsi="Times New Roman" w:cs="Times New Roman"/>
          <w:bCs/>
          <w:sz w:val="24"/>
          <w:szCs w:val="24"/>
        </w:rPr>
        <w:t xml:space="preserve"> a vezetői felelősség, az ellenőrzési funkciók, a lényeges szervezeti egységek és az intézmény kockázati profiljára gyakorolt jelentős hatás meghatározására vonatkozó kritériumokat megállapító, valamint az intézmény kockázati profiljára az irányelv </w:t>
      </w:r>
      <w:hyperlink r:id="rId10" w:tgtFrame="_blank" w:history="1">
        <w:r w:rsidR="003F6DEE" w:rsidRPr="00E92F8A">
          <w:rPr>
            <w:rStyle w:val="Hiperhivatkozs"/>
            <w:rFonts w:ascii="Times New Roman" w:hAnsi="Times New Roman"/>
            <w:bCs/>
            <w:sz w:val="24"/>
            <w:szCs w:val="24"/>
            <w:u w:val="none"/>
          </w:rPr>
          <w:t>92. cikkének (3) bekezdésében</w:t>
        </w:r>
      </w:hyperlink>
      <w:r w:rsidR="003F6DEE" w:rsidRPr="00E92F8A">
        <w:rPr>
          <w:rStyle w:val="desc"/>
          <w:rFonts w:ascii="Times New Roman" w:hAnsi="Times New Roman" w:cs="Times New Roman"/>
          <w:bCs/>
          <w:sz w:val="24"/>
          <w:szCs w:val="24"/>
        </w:rPr>
        <w:t xml:space="preserve"> említett munkavállalók vagy munkavállalói kategóriák szakmai tevékenységeinek hatásával összehasonlítható módon ugyanolyan lényeges hatást gyakorló szakmai tevékenységeket végző munkavállalók vagy munkavállalói kategóriák azonosítására vonatkozó kritériumokat megállapító szabályozástechnikai standardok tekintetében történő kiegészítéséről</w:t>
      </w:r>
    </w:p>
    <w:p w14:paraId="35FE3CD8" w14:textId="641EA383" w:rsidR="00376751" w:rsidRPr="0028364C" w:rsidRDefault="00120EB0" w:rsidP="003767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2012</w:t>
      </w:r>
      <w:r w:rsidR="00376751" w:rsidRPr="0028364C">
        <w:rPr>
          <w:rFonts w:ascii="Times New Roman" w:hAnsi="Times New Roman" w:cs="Times New Roman"/>
          <w:sz w:val="24"/>
          <w:szCs w:val="24"/>
        </w:rPr>
        <w:t>.</w:t>
      </w:r>
      <w:r w:rsidR="00442F8D">
        <w:rPr>
          <w:rFonts w:ascii="Times New Roman" w:hAnsi="Times New Roman" w:cs="Times New Roman"/>
          <w:sz w:val="24"/>
          <w:szCs w:val="24"/>
        </w:rPr>
        <w:t xml:space="preserve"> </w:t>
      </w:r>
      <w:r w:rsidR="00376751" w:rsidRPr="0028364C">
        <w:rPr>
          <w:rFonts w:ascii="Times New Roman" w:hAnsi="Times New Roman" w:cs="Times New Roman"/>
          <w:sz w:val="24"/>
          <w:szCs w:val="24"/>
        </w:rPr>
        <w:t>évi I. törvény, a Munka Törvénykönyvéről</w:t>
      </w:r>
    </w:p>
    <w:p w14:paraId="7570FBEA" w14:textId="77777777" w:rsidR="00A71DBA" w:rsidRPr="0028364C" w:rsidRDefault="00A71DBA" w:rsidP="00A71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DCDAC" w14:textId="77777777" w:rsidR="0040168E" w:rsidRDefault="0040168E" w:rsidP="009019E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1C7FD4D" w14:textId="77777777" w:rsidR="0040168E" w:rsidRDefault="0040168E" w:rsidP="009019E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04D4732" w14:textId="77777777" w:rsidR="0040168E" w:rsidRDefault="0040168E" w:rsidP="009019E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A7D2ADC" w14:textId="3BA07813" w:rsidR="00376751" w:rsidRPr="0028364C" w:rsidRDefault="004C648E" w:rsidP="009019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364C">
        <w:rPr>
          <w:rFonts w:ascii="Times New Roman" w:hAnsi="Times New Roman" w:cs="Times New Roman"/>
          <w:sz w:val="24"/>
          <w:szCs w:val="24"/>
          <w:u w:val="single"/>
        </w:rPr>
        <w:t>Be</w:t>
      </w:r>
      <w:r w:rsidR="00F16D74" w:rsidRPr="0028364C"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28364C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16D74" w:rsidRPr="0028364C">
        <w:rPr>
          <w:rFonts w:ascii="Times New Roman" w:hAnsi="Times New Roman" w:cs="Times New Roman"/>
          <w:sz w:val="24"/>
          <w:szCs w:val="24"/>
          <w:u w:val="single"/>
        </w:rPr>
        <w:t>ő szabályzatok:</w:t>
      </w:r>
    </w:p>
    <w:p w14:paraId="7EE1EE4B" w14:textId="5B222F38" w:rsidR="00F16D74" w:rsidRPr="00BF0006" w:rsidRDefault="00F16D74" w:rsidP="00F16D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lastRenderedPageBreak/>
        <w:t xml:space="preserve">Duna Takarék Bank </w:t>
      </w:r>
      <w:proofErr w:type="spellStart"/>
      <w:r w:rsidRPr="0028364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28364C">
        <w:rPr>
          <w:rFonts w:ascii="Times New Roman" w:hAnsi="Times New Roman" w:cs="Times New Roman"/>
          <w:sz w:val="24"/>
          <w:szCs w:val="24"/>
        </w:rPr>
        <w:t xml:space="preserve">. (DTB) </w:t>
      </w:r>
      <w:r w:rsidR="002F7C6E" w:rsidRPr="0028364C">
        <w:rPr>
          <w:rFonts w:ascii="Times New Roman" w:hAnsi="Times New Roman" w:cs="Times New Roman"/>
          <w:sz w:val="24"/>
          <w:szCs w:val="24"/>
        </w:rPr>
        <w:t xml:space="preserve">központi teljesítményértékelési és </w:t>
      </w:r>
      <w:r w:rsidR="002F7C6E" w:rsidRPr="00D272F5">
        <w:rPr>
          <w:rFonts w:ascii="Times New Roman" w:hAnsi="Times New Roman" w:cs="Times New Roman"/>
          <w:sz w:val="24"/>
          <w:szCs w:val="24"/>
        </w:rPr>
        <w:t xml:space="preserve">mozgóbérezési </w:t>
      </w:r>
      <w:r w:rsidRPr="00D167D9">
        <w:rPr>
          <w:rFonts w:ascii="Times New Roman" w:hAnsi="Times New Roman" w:cs="Times New Roman"/>
          <w:sz w:val="24"/>
          <w:szCs w:val="24"/>
        </w:rPr>
        <w:t xml:space="preserve"> rendszerének alapelvei</w:t>
      </w:r>
      <w:r w:rsidR="00C2008A" w:rsidRPr="004D0938">
        <w:rPr>
          <w:rFonts w:ascii="Times New Roman" w:hAnsi="Times New Roman" w:cs="Times New Roman"/>
          <w:sz w:val="24"/>
          <w:szCs w:val="24"/>
        </w:rPr>
        <w:t xml:space="preserve"> </w:t>
      </w:r>
      <w:r w:rsidR="00C2008A" w:rsidRPr="002E4454">
        <w:rPr>
          <w:rFonts w:ascii="Times New Roman" w:hAnsi="Times New Roman" w:cs="Times New Roman"/>
          <w:i/>
          <w:sz w:val="24"/>
          <w:szCs w:val="24"/>
        </w:rPr>
        <w:t xml:space="preserve">(jelen szabályzat </w:t>
      </w:r>
      <w:r w:rsidR="00367ACC">
        <w:rPr>
          <w:rFonts w:ascii="Times New Roman" w:hAnsi="Times New Roman" w:cs="Times New Roman"/>
          <w:i/>
          <w:sz w:val="24"/>
          <w:szCs w:val="24"/>
        </w:rPr>
        <w:t>2</w:t>
      </w:r>
      <w:r w:rsidR="00EE1B49" w:rsidRPr="00947258">
        <w:rPr>
          <w:rFonts w:ascii="Times New Roman" w:hAnsi="Times New Roman" w:cs="Times New Roman"/>
          <w:i/>
          <w:sz w:val="24"/>
          <w:szCs w:val="24"/>
        </w:rPr>
        <w:t>. sz. melléklete)</w:t>
      </w:r>
    </w:p>
    <w:p w14:paraId="3C7FB22D" w14:textId="24AB2307" w:rsidR="00F16D74" w:rsidRPr="00D272F5" w:rsidRDefault="00F16D74" w:rsidP="00F16D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4F">
        <w:rPr>
          <w:rFonts w:ascii="Times New Roman" w:hAnsi="Times New Roman" w:cs="Times New Roman"/>
          <w:sz w:val="24"/>
          <w:szCs w:val="24"/>
        </w:rPr>
        <w:t xml:space="preserve">Duna Kavics egyéni érdekeltségi ösztönző </w:t>
      </w:r>
      <w:r w:rsidRPr="0082129F">
        <w:rPr>
          <w:rFonts w:ascii="Times New Roman" w:hAnsi="Times New Roman" w:cs="Times New Roman"/>
          <w:sz w:val="24"/>
          <w:szCs w:val="24"/>
        </w:rPr>
        <w:t xml:space="preserve">rendszer </w:t>
      </w:r>
      <w:r w:rsidRPr="0010413D">
        <w:rPr>
          <w:rFonts w:ascii="Times New Roman" w:hAnsi="Times New Roman" w:cs="Times New Roman"/>
          <w:sz w:val="24"/>
          <w:szCs w:val="24"/>
        </w:rPr>
        <w:t>utasítás</w:t>
      </w:r>
      <w:r w:rsidR="00C2008A" w:rsidRPr="009E5A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0E56" w:rsidRPr="00D272F5">
        <w:rPr>
          <w:rFonts w:ascii="Times New Roman" w:hAnsi="Times New Roman" w:cs="Times New Roman"/>
          <w:bCs/>
          <w:i/>
          <w:sz w:val="24"/>
          <w:szCs w:val="24"/>
        </w:rPr>
        <w:t xml:space="preserve">(jelen szabályzat </w:t>
      </w:r>
      <w:r w:rsidR="00367AC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EE1B49" w:rsidRPr="00D272F5">
        <w:rPr>
          <w:rFonts w:ascii="Times New Roman" w:hAnsi="Times New Roman" w:cs="Times New Roman"/>
          <w:bCs/>
          <w:i/>
          <w:sz w:val="24"/>
          <w:szCs w:val="24"/>
        </w:rPr>
        <w:t>. sz. melléklete)</w:t>
      </w:r>
      <w:r w:rsidR="00EE1B49" w:rsidRPr="00D272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E336CD" w14:textId="546B7FDC" w:rsidR="00F16D74" w:rsidRPr="00D272F5" w:rsidRDefault="002B3F55" w:rsidP="002B3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Duna Takarék Bank </w:t>
      </w:r>
      <w:proofErr w:type="spellStart"/>
      <w:r w:rsidRPr="00D272F5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D272F5">
        <w:rPr>
          <w:rFonts w:ascii="Times New Roman" w:hAnsi="Times New Roman" w:cs="Times New Roman"/>
          <w:sz w:val="24"/>
          <w:szCs w:val="24"/>
        </w:rPr>
        <w:t>. m</w:t>
      </w:r>
      <w:r w:rsidR="00F16D74" w:rsidRPr="00D272F5">
        <w:rPr>
          <w:rFonts w:ascii="Times New Roman" w:hAnsi="Times New Roman" w:cs="Times New Roman"/>
          <w:sz w:val="24"/>
          <w:szCs w:val="24"/>
        </w:rPr>
        <w:t>unkavállalói részére biztosított gépjárművek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="00F16D74" w:rsidRPr="00D272F5">
        <w:rPr>
          <w:rFonts w:ascii="Times New Roman" w:hAnsi="Times New Roman" w:cs="Times New Roman"/>
          <w:sz w:val="24"/>
          <w:szCs w:val="24"/>
        </w:rPr>
        <w:t>használatával kapcsolatos utasítás</w:t>
      </w:r>
      <w:r w:rsidRPr="00D272F5">
        <w:rPr>
          <w:rFonts w:ascii="Times New Roman" w:hAnsi="Times New Roman" w:cs="Times New Roman"/>
          <w:sz w:val="24"/>
          <w:szCs w:val="24"/>
        </w:rPr>
        <w:t xml:space="preserve"> (</w:t>
      </w:r>
      <w:r w:rsidR="00877656" w:rsidRPr="00D272F5">
        <w:rPr>
          <w:bCs/>
          <w:color w:val="000000"/>
        </w:rPr>
        <w:t>84/2021/ÜV</w:t>
      </w:r>
      <w:r w:rsidR="00D5650C" w:rsidRPr="00D272F5">
        <w:rPr>
          <w:rFonts w:ascii="Times New Roman" w:hAnsi="Times New Roman" w:cs="Times New Roman"/>
          <w:bCs/>
          <w:szCs w:val="24"/>
        </w:rPr>
        <w:t>)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A10C4" w14:textId="3B14FD3A" w:rsidR="00340CF6" w:rsidRPr="00D272F5" w:rsidRDefault="00340CF6" w:rsidP="00340C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Duna Takarék Bank </w:t>
      </w:r>
      <w:proofErr w:type="spellStart"/>
      <w:r w:rsidRPr="00D272F5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D272F5">
        <w:rPr>
          <w:rFonts w:ascii="Times New Roman" w:hAnsi="Times New Roman" w:cs="Times New Roman"/>
          <w:sz w:val="24"/>
          <w:szCs w:val="24"/>
        </w:rPr>
        <w:t xml:space="preserve">. mobil előfizetések és készülékek használatáról szóló </w:t>
      </w:r>
      <w:r w:rsidR="007A2F76" w:rsidRPr="00D272F5">
        <w:rPr>
          <w:rFonts w:ascii="Times New Roman" w:hAnsi="Times New Roman" w:cs="Times New Roman"/>
          <w:sz w:val="24"/>
          <w:szCs w:val="24"/>
        </w:rPr>
        <w:t>eljárási rend (</w:t>
      </w:r>
      <w:r w:rsidR="00877656" w:rsidRPr="00D272F5">
        <w:rPr>
          <w:rFonts w:ascii="Times New Roman" w:hAnsi="Times New Roman"/>
          <w:bCs/>
          <w:color w:val="000000"/>
          <w:szCs w:val="24"/>
        </w:rPr>
        <w:t>22/2022/ÜV</w:t>
      </w:r>
      <w:r w:rsidR="007A2F76" w:rsidRPr="00D272F5">
        <w:rPr>
          <w:rFonts w:ascii="Times New Roman" w:hAnsi="Times New Roman"/>
          <w:bCs/>
          <w:color w:val="000000"/>
          <w:szCs w:val="24"/>
        </w:rPr>
        <w:t>)</w:t>
      </w:r>
    </w:p>
    <w:p w14:paraId="3922152E" w14:textId="2F437FE6" w:rsidR="003677DC" w:rsidRPr="00D272F5" w:rsidRDefault="003616DB" w:rsidP="003677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Duna Takarék Bank </w:t>
      </w:r>
      <w:proofErr w:type="spellStart"/>
      <w:r w:rsidRPr="00D272F5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D272F5">
        <w:rPr>
          <w:rFonts w:ascii="Times New Roman" w:hAnsi="Times New Roman" w:cs="Times New Roman"/>
          <w:sz w:val="24"/>
          <w:szCs w:val="24"/>
        </w:rPr>
        <w:t xml:space="preserve">. </w:t>
      </w:r>
      <w:r w:rsidR="001A70B3" w:rsidRPr="00D272F5">
        <w:rPr>
          <w:rFonts w:ascii="Times New Roman" w:hAnsi="Times New Roman" w:cs="Times New Roman"/>
          <w:sz w:val="24"/>
          <w:szCs w:val="24"/>
        </w:rPr>
        <w:t>Humánerőforrás gazdálkodásra vonatkozó szabályzata</w:t>
      </w:r>
      <w:r w:rsidR="002B48CD" w:rsidRPr="00D272F5">
        <w:rPr>
          <w:rFonts w:ascii="Times New Roman" w:hAnsi="Times New Roman" w:cs="Times New Roman"/>
          <w:sz w:val="24"/>
          <w:szCs w:val="24"/>
        </w:rPr>
        <w:t xml:space="preserve"> (</w:t>
      </w:r>
      <w:r w:rsidR="00877656" w:rsidRPr="00D272F5">
        <w:rPr>
          <w:rFonts w:hAnsi="Times New Roman" w:cs="Times New Roman"/>
          <w:bCs/>
          <w:sz w:val="23"/>
          <w:szCs w:val="23"/>
        </w:rPr>
        <w:t>103/2021/IG</w:t>
      </w:r>
      <w:r w:rsidR="002B48CD" w:rsidRPr="00D272F5">
        <w:rPr>
          <w:rFonts w:ascii="Times New Roman" w:hAnsi="Times New Roman" w:cs="Times New Roman"/>
          <w:bCs/>
        </w:rPr>
        <w:t>)</w:t>
      </w:r>
    </w:p>
    <w:p w14:paraId="5C1468E9" w14:textId="3236C253" w:rsidR="009C21B2" w:rsidRPr="004D0938" w:rsidRDefault="003515CA" w:rsidP="00915F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Duna Takarék Bank </w:t>
      </w:r>
      <w:proofErr w:type="spellStart"/>
      <w:r w:rsidRPr="00D272F5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212B4E" w:rsidRPr="00D272F5">
        <w:rPr>
          <w:rFonts w:ascii="Times New Roman" w:hAnsi="Times New Roman" w:cs="Times New Roman"/>
          <w:sz w:val="24"/>
          <w:szCs w:val="24"/>
        </w:rPr>
        <w:t>.</w:t>
      </w:r>
      <w:r w:rsidRPr="00D272F5">
        <w:rPr>
          <w:rFonts w:ascii="Times New Roman" w:hAnsi="Times New Roman" w:cs="Times New Roman"/>
          <w:sz w:val="24"/>
          <w:szCs w:val="24"/>
        </w:rPr>
        <w:t xml:space="preserve"> saját munkavállalóinak nyúj</w:t>
      </w:r>
      <w:r w:rsidR="00212B4E" w:rsidRPr="00D272F5">
        <w:rPr>
          <w:rFonts w:ascii="Times New Roman" w:hAnsi="Times New Roman" w:cs="Times New Roman"/>
          <w:sz w:val="24"/>
          <w:szCs w:val="24"/>
        </w:rPr>
        <w:t>t</w:t>
      </w:r>
      <w:r w:rsidRPr="00D272F5">
        <w:rPr>
          <w:rFonts w:ascii="Times New Roman" w:hAnsi="Times New Roman" w:cs="Times New Roman"/>
          <w:sz w:val="24"/>
          <w:szCs w:val="24"/>
        </w:rPr>
        <w:t xml:space="preserve">ott kölcsönre, hitelre és vissza nem térítendő támogatásra vonatkozó </w:t>
      </w:r>
      <w:r w:rsidR="009429A2" w:rsidRPr="00D272F5">
        <w:rPr>
          <w:rFonts w:ascii="Times New Roman" w:hAnsi="Times New Roman" w:cs="Times New Roman"/>
          <w:sz w:val="24"/>
          <w:szCs w:val="24"/>
        </w:rPr>
        <w:t>szabályzat</w:t>
      </w:r>
      <w:r w:rsidRPr="00D272F5">
        <w:rPr>
          <w:rFonts w:ascii="Times New Roman" w:hAnsi="Times New Roman" w:cs="Times New Roman"/>
          <w:sz w:val="24"/>
          <w:szCs w:val="24"/>
        </w:rPr>
        <w:t xml:space="preserve"> (</w:t>
      </w:r>
      <w:r w:rsidR="00E34D72" w:rsidRPr="00E92F8A">
        <w:rPr>
          <w:rFonts w:ascii="Times New Roman" w:hAnsi="Times New Roman" w:cs="Times New Roman"/>
          <w:sz w:val="24"/>
          <w:szCs w:val="24"/>
        </w:rPr>
        <w:t>10/2022</w:t>
      </w:r>
      <w:r w:rsidR="00E34D72" w:rsidRPr="00E92F8A">
        <w:rPr>
          <w:rFonts w:ascii="Times New Roman" w:hAnsi="Times New Roman" w:cs="Times New Roman"/>
          <w:szCs w:val="24"/>
        </w:rPr>
        <w:t>/</w:t>
      </w:r>
      <w:r w:rsidR="009429A2" w:rsidRPr="00D272F5">
        <w:rPr>
          <w:rFonts w:ascii="Times New Roman" w:hAnsi="Times New Roman" w:cs="Times New Roman"/>
          <w:szCs w:val="24"/>
        </w:rPr>
        <w:t>IG</w:t>
      </w:r>
      <w:r w:rsidRPr="00D167D9">
        <w:rPr>
          <w:rFonts w:ascii="Times New Roman" w:hAnsi="Times New Roman" w:cs="Times New Roman"/>
          <w:szCs w:val="24"/>
        </w:rPr>
        <w:t>)</w:t>
      </w:r>
    </w:p>
    <w:p w14:paraId="0EB07419" w14:textId="77777777" w:rsidR="00F20135" w:rsidRPr="00947258" w:rsidRDefault="00F20135" w:rsidP="00F16D74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</w:p>
    <w:p w14:paraId="5AB5B7A8" w14:textId="77777777" w:rsidR="007871DF" w:rsidRPr="004E4A4F" w:rsidRDefault="007871DF" w:rsidP="009019E6">
      <w:pPr>
        <w:pStyle w:val="Listaszerbekezds"/>
        <w:numPr>
          <w:ilvl w:val="0"/>
          <w:numId w:val="1"/>
        </w:numPr>
        <w:ind w:left="426" w:hanging="426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109047090"/>
      <w:r w:rsidRPr="00BF0006">
        <w:rPr>
          <w:rFonts w:ascii="Times New Roman" w:hAnsi="Times New Roman" w:cs="Times New Roman"/>
          <w:b/>
          <w:sz w:val="28"/>
          <w:szCs w:val="28"/>
        </w:rPr>
        <w:t>A szabályzat tárgya</w:t>
      </w:r>
      <w:bookmarkEnd w:id="3"/>
    </w:p>
    <w:p w14:paraId="08539668" w14:textId="77777777" w:rsidR="0019008A" w:rsidRPr="0082129F" w:rsidRDefault="0019008A" w:rsidP="0019008A">
      <w:pPr>
        <w:pStyle w:val="Listaszerbekezds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14:paraId="09BDB640" w14:textId="3071FC3A" w:rsidR="00630A6A" w:rsidRPr="00D272F5" w:rsidRDefault="0019008A" w:rsidP="009019E6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BC8">
        <w:rPr>
          <w:rFonts w:ascii="Times New Roman" w:hAnsi="Times New Roman" w:cs="Times New Roman"/>
          <w:sz w:val="24"/>
          <w:szCs w:val="24"/>
        </w:rPr>
        <w:t xml:space="preserve">A Javadalmazási Politika a </w:t>
      </w:r>
      <w:r w:rsidR="003A6749" w:rsidRPr="0010413D">
        <w:rPr>
          <w:rFonts w:ascii="Times New Roman" w:hAnsi="Times New Roman" w:cs="Times New Roman"/>
          <w:sz w:val="24"/>
          <w:szCs w:val="24"/>
        </w:rPr>
        <w:t xml:space="preserve">Bank </w:t>
      </w:r>
      <w:r w:rsidR="00323A14" w:rsidRPr="00BE096D">
        <w:rPr>
          <w:rFonts w:ascii="Times New Roman" w:hAnsi="Times New Roman" w:cs="Times New Roman"/>
          <w:sz w:val="24"/>
          <w:szCs w:val="24"/>
        </w:rPr>
        <w:t>vezető állású személyeinek</w:t>
      </w:r>
      <w:r w:rsidRPr="009E5A4B">
        <w:rPr>
          <w:rFonts w:ascii="Times New Roman" w:hAnsi="Times New Roman" w:cs="Times New Roman"/>
          <w:sz w:val="24"/>
          <w:szCs w:val="24"/>
        </w:rPr>
        <w:t xml:space="preserve"> és munkavállalóinak díjazására, tevékenységük értékelésére és ösztönzésére terjed ki.</w:t>
      </w:r>
    </w:p>
    <w:p w14:paraId="4E057E01" w14:textId="77777777" w:rsidR="00630A6A" w:rsidRPr="00D272F5" w:rsidRDefault="00630A6A" w:rsidP="00630A6A">
      <w:pPr>
        <w:pStyle w:val="Listaszerbekezds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FD484" w14:textId="77777777" w:rsidR="007871DF" w:rsidRPr="00D272F5" w:rsidRDefault="007871DF" w:rsidP="009019E6">
      <w:pPr>
        <w:pStyle w:val="Listaszerbekezds"/>
        <w:numPr>
          <w:ilvl w:val="0"/>
          <w:numId w:val="1"/>
        </w:numPr>
        <w:ind w:left="426" w:hanging="426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109047091"/>
      <w:r w:rsidRPr="00D272F5">
        <w:rPr>
          <w:rFonts w:ascii="Times New Roman" w:hAnsi="Times New Roman" w:cs="Times New Roman"/>
          <w:b/>
          <w:sz w:val="28"/>
          <w:szCs w:val="28"/>
        </w:rPr>
        <w:t>A szabályzat hatálya</w:t>
      </w:r>
      <w:bookmarkEnd w:id="4"/>
    </w:p>
    <w:p w14:paraId="314891DD" w14:textId="77777777" w:rsidR="007871DF" w:rsidRPr="00D272F5" w:rsidRDefault="00E77DE3" w:rsidP="009019E6">
      <w:pPr>
        <w:rPr>
          <w:rFonts w:ascii="Times New Roman" w:hAnsi="Times New Roman" w:cs="Times New Roman"/>
          <w:b/>
          <w:sz w:val="24"/>
          <w:szCs w:val="24"/>
        </w:rPr>
      </w:pPr>
      <w:r w:rsidRPr="00D272F5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7871DF" w:rsidRPr="00D272F5">
        <w:rPr>
          <w:rFonts w:ascii="Times New Roman" w:hAnsi="Times New Roman" w:cs="Times New Roman"/>
          <w:b/>
          <w:sz w:val="24"/>
          <w:szCs w:val="24"/>
        </w:rPr>
        <w:t>Alanyi hatály</w:t>
      </w:r>
    </w:p>
    <w:p w14:paraId="3E909158" w14:textId="7FB102EE" w:rsidR="00E77DE3" w:rsidRPr="00E92F8A" w:rsidRDefault="00E77DE3" w:rsidP="0040168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A Javadalmazási Politika alanyi hatálya a</w:t>
      </w:r>
      <w:r w:rsidR="008755AF" w:rsidRPr="00D272F5">
        <w:rPr>
          <w:rFonts w:ascii="Times New Roman" w:hAnsi="Times New Roman" w:cs="Times New Roman"/>
          <w:sz w:val="24"/>
          <w:szCs w:val="24"/>
        </w:rPr>
        <w:t xml:space="preserve"> Bankra</w:t>
      </w:r>
      <w:r w:rsidRPr="00D272F5">
        <w:rPr>
          <w:rFonts w:ascii="Times New Roman" w:hAnsi="Times New Roman" w:cs="Times New Roman"/>
          <w:sz w:val="24"/>
          <w:szCs w:val="24"/>
        </w:rPr>
        <w:t xml:space="preserve">  terjed ki</w:t>
      </w:r>
      <w:r w:rsidR="008755AF" w:rsidRPr="00D272F5">
        <w:rPr>
          <w:rFonts w:ascii="Times New Roman" w:hAnsi="Times New Roman" w:cs="Times New Roman"/>
          <w:sz w:val="24"/>
          <w:szCs w:val="24"/>
        </w:rPr>
        <w:t>.</w:t>
      </w:r>
    </w:p>
    <w:p w14:paraId="358BEB07" w14:textId="38603B09" w:rsidR="00224C9D" w:rsidRPr="00E92F8A" w:rsidRDefault="00745782" w:rsidP="00E92F8A">
      <w:pPr>
        <w:pStyle w:val="Default"/>
        <w:jc w:val="both"/>
        <w:rPr>
          <w:rFonts w:ascii="Times New Roman" w:hAnsi="Times New Roman" w:cs="Times New Roman"/>
        </w:rPr>
      </w:pPr>
      <w:r w:rsidRPr="0082129F">
        <w:rPr>
          <w:rFonts w:ascii="Times New Roman" w:hAnsi="Times New Roman" w:cs="Times New Roman"/>
        </w:rPr>
        <w:t>A</w:t>
      </w:r>
      <w:r w:rsidR="00224C9D" w:rsidRPr="00E92F8A">
        <w:rPr>
          <w:rFonts w:ascii="Times New Roman" w:hAnsi="Times New Roman" w:cs="Times New Roman"/>
        </w:rPr>
        <w:t xml:space="preserve">z </w:t>
      </w:r>
      <w:r w:rsidR="005A7EB1" w:rsidRPr="00D167D9">
        <w:rPr>
          <w:rFonts w:ascii="Times New Roman" w:hAnsi="Times New Roman" w:cs="Times New Roman"/>
        </w:rPr>
        <w:t xml:space="preserve"> arányosság elve</w:t>
      </w:r>
      <w:r w:rsidR="008755AF" w:rsidRPr="00E92F8A">
        <w:rPr>
          <w:rFonts w:ascii="Times New Roman" w:hAnsi="Times New Roman" w:cs="Times New Roman"/>
        </w:rPr>
        <w:t xml:space="preserve"> a Magyar Nemzeti Banknak </w:t>
      </w:r>
      <w:r w:rsidR="008755AF" w:rsidRPr="00E92F8A">
        <w:rPr>
          <w:rFonts w:ascii="Times New Roman" w:hAnsi="Times New Roman" w:cs="Times New Roman"/>
          <w:bCs/>
        </w:rPr>
        <w:t>a hitelintézetekről és a pénzügyi vállalkozásokról szóló törvény szerinti javadalmazási politika alkalmazásáról</w:t>
      </w:r>
      <w:r w:rsidR="00697B75" w:rsidRPr="00D272F5">
        <w:rPr>
          <w:rFonts w:ascii="Times New Roman" w:hAnsi="Times New Roman" w:cs="Times New Roman"/>
          <w:bCs/>
        </w:rPr>
        <w:t xml:space="preserve"> szóló 4/2022. (IV.8.) sz. ajánlása (a továbbiakban</w:t>
      </w:r>
      <w:r w:rsidR="00697B75" w:rsidRPr="00D167D9">
        <w:rPr>
          <w:rFonts w:ascii="Times New Roman" w:hAnsi="Times New Roman" w:cs="Times New Roman"/>
          <w:bCs/>
        </w:rPr>
        <w:t xml:space="preserve">: MNB ajánlás) </w:t>
      </w:r>
      <w:r w:rsidR="00697B75" w:rsidRPr="004D0938">
        <w:rPr>
          <w:rFonts w:ascii="Times New Roman" w:hAnsi="Times New Roman" w:cs="Times New Roman"/>
          <w:bCs/>
        </w:rPr>
        <w:t xml:space="preserve">alapján </w:t>
      </w:r>
      <w:r w:rsidR="003461D6" w:rsidRPr="002E4454">
        <w:rPr>
          <w:rFonts w:ascii="Times New Roman" w:hAnsi="Times New Roman" w:cs="Times New Roman"/>
          <w:bCs/>
        </w:rPr>
        <w:t xml:space="preserve">kerül </w:t>
      </w:r>
      <w:r w:rsidR="00697B75" w:rsidRPr="00947258">
        <w:rPr>
          <w:rFonts w:ascii="Times New Roman" w:hAnsi="Times New Roman" w:cs="Times New Roman"/>
          <w:bCs/>
        </w:rPr>
        <w:t>alkalmazásra</w:t>
      </w:r>
      <w:r w:rsidR="008755AF" w:rsidRPr="00E92F8A">
        <w:rPr>
          <w:rFonts w:ascii="Times New Roman" w:hAnsi="Times New Roman" w:cs="Times New Roman"/>
        </w:rPr>
        <w:t>.</w:t>
      </w:r>
      <w:r w:rsidR="008755AF" w:rsidRPr="00D272F5">
        <w:rPr>
          <w:rFonts w:ascii="Times New Roman" w:hAnsi="Times New Roman" w:cs="Times New Roman"/>
        </w:rPr>
        <w:t xml:space="preserve"> </w:t>
      </w:r>
      <w:r w:rsidRPr="00D167D9">
        <w:rPr>
          <w:rFonts w:ascii="Times New Roman" w:hAnsi="Times New Roman" w:cs="Times New Roman"/>
        </w:rPr>
        <w:t>A</w:t>
      </w:r>
      <w:r w:rsidR="00397A70" w:rsidRPr="00E92F8A">
        <w:rPr>
          <w:rFonts w:ascii="Times New Roman" w:hAnsi="Times New Roman" w:cs="Times New Roman"/>
        </w:rPr>
        <w:t xml:space="preserve"> Javadalmazási Politikára vonatkozó követelmények, felügyeleti elvárások</w:t>
      </w:r>
      <w:r w:rsidRPr="00D272F5">
        <w:rPr>
          <w:rFonts w:ascii="Times New Roman" w:hAnsi="Times New Roman" w:cs="Times New Roman"/>
        </w:rPr>
        <w:t xml:space="preserve"> arányos</w:t>
      </w:r>
      <w:r w:rsidR="00397A70" w:rsidRPr="00E92F8A">
        <w:rPr>
          <w:rFonts w:ascii="Times New Roman" w:hAnsi="Times New Roman" w:cs="Times New Roman"/>
        </w:rPr>
        <w:t xml:space="preserve"> módon történő alkalmazásának értékelése</w:t>
      </w:r>
      <w:r w:rsidRPr="00D167D9">
        <w:rPr>
          <w:rFonts w:ascii="Times New Roman" w:hAnsi="Times New Roman" w:cs="Times New Roman"/>
        </w:rPr>
        <w:t xml:space="preserve"> során </w:t>
      </w:r>
      <w:proofErr w:type="spellStart"/>
      <w:r w:rsidRPr="00D167D9">
        <w:rPr>
          <w:rFonts w:ascii="Times New Roman" w:hAnsi="Times New Roman" w:cs="Times New Roman"/>
        </w:rPr>
        <w:t>a</w:t>
      </w:r>
      <w:r w:rsidR="00224C9D" w:rsidRPr="00E92F8A">
        <w:rPr>
          <w:rFonts w:ascii="Times New Roman" w:hAnsi="Times New Roman" w:cs="Times New Roman"/>
        </w:rPr>
        <w:t>Banknak</w:t>
      </w:r>
      <w:proofErr w:type="spellEnd"/>
      <w:r w:rsidRPr="00D272F5">
        <w:rPr>
          <w:rFonts w:ascii="Times New Roman" w:hAnsi="Times New Roman" w:cs="Times New Roman"/>
        </w:rPr>
        <w:t xml:space="preserve"> legalább az </w:t>
      </w:r>
      <w:r w:rsidR="00CB188A" w:rsidRPr="00D167D9">
        <w:rPr>
          <w:rFonts w:ascii="Times New Roman" w:hAnsi="Times New Roman" w:cs="Times New Roman"/>
        </w:rPr>
        <w:t>MNB ajánlásban szereplő</w:t>
      </w:r>
      <w:r w:rsidR="00224C9D" w:rsidRPr="00E92F8A">
        <w:rPr>
          <w:rFonts w:ascii="Times New Roman" w:hAnsi="Times New Roman" w:cs="Times New Roman"/>
        </w:rPr>
        <w:t>, alábbi</w:t>
      </w:r>
      <w:r w:rsidR="00CB188A" w:rsidRPr="00D272F5">
        <w:rPr>
          <w:rFonts w:ascii="Times New Roman" w:hAnsi="Times New Roman" w:cs="Times New Roman"/>
        </w:rPr>
        <w:t xml:space="preserve"> </w:t>
      </w:r>
      <w:r w:rsidRPr="00D167D9">
        <w:rPr>
          <w:rFonts w:ascii="Times New Roman" w:hAnsi="Times New Roman" w:cs="Times New Roman"/>
        </w:rPr>
        <w:t>kritériumo</w:t>
      </w:r>
      <w:r w:rsidR="00CB188A" w:rsidRPr="004D0938">
        <w:rPr>
          <w:rFonts w:ascii="Times New Roman" w:hAnsi="Times New Roman" w:cs="Times New Roman"/>
        </w:rPr>
        <w:t>kat szükséges figyelembe vennie</w:t>
      </w:r>
      <w:r w:rsidR="00224C9D" w:rsidRPr="00E92F8A">
        <w:rPr>
          <w:rFonts w:ascii="Times New Roman" w:hAnsi="Times New Roman" w:cs="Times New Roman"/>
        </w:rPr>
        <w:t>:</w:t>
      </w:r>
    </w:p>
    <w:p w14:paraId="63229B55" w14:textId="2742B7C7" w:rsidR="00224C9D" w:rsidRPr="00E92F8A" w:rsidRDefault="00224C9D" w:rsidP="00E92F8A">
      <w:pPr>
        <w:pStyle w:val="Default"/>
        <w:numPr>
          <w:ilvl w:val="0"/>
          <w:numId w:val="35"/>
        </w:numPr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 Bank megfelel-e a kis méretű és nem összetett intézmény kritériumának a CRR 4. cikk (1) bekezdés 145. foglalt meghatározás szerint;</w:t>
      </w:r>
    </w:p>
    <w:p w14:paraId="70FEB4C0" w14:textId="77777777" w:rsidR="00397A70" w:rsidRPr="00D272F5" w:rsidRDefault="00224C9D" w:rsidP="00E92F8A">
      <w:pPr>
        <w:pStyle w:val="Default"/>
        <w:numPr>
          <w:ilvl w:val="0"/>
          <w:numId w:val="35"/>
        </w:numPr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 xml:space="preserve">a Bank megfelel-e a CRD 94. cikk (3) és (4) bekezdése szerinti, a nemzeti jogszabályokban meghatározott kritériumoknak és értékhatároknak a </w:t>
      </w:r>
      <w:r w:rsidR="00397A70" w:rsidRPr="00D272F5">
        <w:rPr>
          <w:rStyle w:val="markedcontent"/>
          <w:rFonts w:ascii="Times New Roman" w:hAnsi="Times New Roman" w:cs="Times New Roman"/>
        </w:rPr>
        <w:t>teljesítmény</w:t>
      </w:r>
      <w:r w:rsidRPr="00E92F8A">
        <w:rPr>
          <w:rStyle w:val="markedcontent"/>
          <w:rFonts w:ascii="Times New Roman" w:hAnsi="Times New Roman" w:cs="Times New Roman"/>
        </w:rPr>
        <w:t>javadalmazás kifizetését érintő mentességek tekintetében;</w:t>
      </w:r>
    </w:p>
    <w:p w14:paraId="1C36ED05" w14:textId="77777777" w:rsidR="00397A70" w:rsidRPr="00D272F5" w:rsidRDefault="00224C9D" w:rsidP="00E92F8A">
      <w:pPr>
        <w:pStyle w:val="Default"/>
        <w:numPr>
          <w:ilvl w:val="0"/>
          <w:numId w:val="35"/>
        </w:numPr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</w:t>
      </w:r>
      <w:r w:rsidR="00397A70" w:rsidRPr="00E92F8A">
        <w:rPr>
          <w:rStyle w:val="markedcontent"/>
          <w:rFonts w:ascii="Times New Roman" w:hAnsi="Times New Roman" w:cs="Times New Roman"/>
        </w:rPr>
        <w:t xml:space="preserve"> Bank</w:t>
      </w:r>
      <w:r w:rsidRPr="00E92F8A">
        <w:rPr>
          <w:rStyle w:val="markedcontent"/>
          <w:rFonts w:ascii="Times New Roman" w:hAnsi="Times New Roman" w:cs="Times New Roman"/>
        </w:rPr>
        <w:t xml:space="preserve"> földrajzi jelenléte, valamint a tevékenységek nagyságrendje minden</w:t>
      </w:r>
      <w:r w:rsidR="00397A70" w:rsidRPr="00E92F8A">
        <w:rPr>
          <w:rStyle w:val="markedcontent"/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egyes joghatóságra vonatkozóan;</w:t>
      </w:r>
    </w:p>
    <w:p w14:paraId="137BE96A" w14:textId="77777777" w:rsidR="00397A70" w:rsidRPr="00D272F5" w:rsidRDefault="00224C9D" w:rsidP="00E92F8A">
      <w:pPr>
        <w:pStyle w:val="Default"/>
        <w:numPr>
          <w:ilvl w:val="0"/>
          <w:numId w:val="35"/>
        </w:numPr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 működési forma, valamint a rendelkezésre álló tőke- és kötelezettségállomány;</w:t>
      </w:r>
    </w:p>
    <w:p w14:paraId="3E0EF731" w14:textId="77777777" w:rsidR="00EE0868" w:rsidRPr="00D272F5" w:rsidRDefault="00224C9D" w:rsidP="00E92F8A">
      <w:pPr>
        <w:pStyle w:val="Default"/>
        <w:numPr>
          <w:ilvl w:val="0"/>
          <w:numId w:val="35"/>
        </w:numPr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 tőkekövetelmények mérésére szolgáló belső módszerek (például IRB, AMA)</w:t>
      </w:r>
      <w:r w:rsidR="00397A70" w:rsidRPr="00D272F5">
        <w:rPr>
          <w:rStyle w:val="markedcontent"/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használatára vonatkozó engedély;</w:t>
      </w:r>
    </w:p>
    <w:p w14:paraId="5491D834" w14:textId="2E3DB422" w:rsidR="00EE0868" w:rsidRPr="00D167D9" w:rsidRDefault="00224C9D" w:rsidP="00E92F8A">
      <w:pPr>
        <w:pStyle w:val="Default"/>
        <w:numPr>
          <w:ilvl w:val="0"/>
          <w:numId w:val="35"/>
        </w:numPr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</w:t>
      </w:r>
      <w:r w:rsidR="00EE0868" w:rsidRPr="00E92F8A">
        <w:rPr>
          <w:rStyle w:val="markedcontent"/>
          <w:rFonts w:ascii="Times New Roman" w:hAnsi="Times New Roman" w:cs="Times New Roman"/>
        </w:rPr>
        <w:t xml:space="preserve"> Bank</w:t>
      </w:r>
      <w:r w:rsidRPr="00E92F8A">
        <w:rPr>
          <w:rStyle w:val="markedcontent"/>
          <w:rFonts w:ascii="Times New Roman" w:hAnsi="Times New Roman" w:cs="Times New Roman"/>
        </w:rPr>
        <w:t xml:space="preserve"> csoport tagja-e, és ha igen, a csoporttal</w:t>
      </w:r>
      <w:r w:rsidR="00EE0868" w:rsidRPr="00E92F8A">
        <w:rPr>
          <w:rStyle w:val="markedcontent"/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kapcsolatban végzett</w:t>
      </w:r>
      <w:r w:rsidR="00EE0868" w:rsidRPr="00D272F5">
        <w:rPr>
          <w:rStyle w:val="markedcontent"/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arányossági értékelés és azon csoport jellemzői, amelyhez a</w:t>
      </w:r>
      <w:r w:rsidR="00EE0868" w:rsidRPr="00E92F8A">
        <w:rPr>
          <w:rStyle w:val="markedcontent"/>
          <w:rFonts w:ascii="Times New Roman" w:hAnsi="Times New Roman" w:cs="Times New Roman"/>
        </w:rPr>
        <w:t xml:space="preserve"> Bank</w:t>
      </w:r>
      <w:r w:rsidRPr="00E92F8A">
        <w:rPr>
          <w:rStyle w:val="markedcontent"/>
          <w:rFonts w:ascii="Times New Roman" w:hAnsi="Times New Roman" w:cs="Times New Roman"/>
        </w:rPr>
        <w:t xml:space="preserve"> tartozik;</w:t>
      </w:r>
      <w:r w:rsidR="00EE0868" w:rsidRPr="00D272F5">
        <w:rPr>
          <w:rStyle w:val="markedcontent"/>
          <w:rFonts w:ascii="Times New Roman" w:hAnsi="Times New Roman" w:cs="Times New Roman"/>
        </w:rPr>
        <w:t xml:space="preserve"> </w:t>
      </w:r>
    </w:p>
    <w:p w14:paraId="49243EBD" w14:textId="77777777" w:rsidR="00EE0868" w:rsidRPr="00D272F5" w:rsidRDefault="00224C9D" w:rsidP="00E92F8A">
      <w:pPr>
        <w:pStyle w:val="Default"/>
        <w:numPr>
          <w:ilvl w:val="0"/>
          <w:numId w:val="35"/>
        </w:numPr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az engedélyezett tevékenységek és szolgáltatások típusa (például kölcsönök és</w:t>
      </w:r>
      <w:r w:rsidR="00EE0868" w:rsidRPr="00D272F5">
        <w:rPr>
          <w:rStyle w:val="markedcontent"/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betétek, befektetési banki tevékenység);</w:t>
      </w:r>
    </w:p>
    <w:p w14:paraId="3859CA42" w14:textId="77777777" w:rsidR="00EE0868" w:rsidRPr="00E92F8A" w:rsidRDefault="00224C9D" w:rsidP="00E92F8A">
      <w:pPr>
        <w:pStyle w:val="Default"/>
        <w:numPr>
          <w:ilvl w:val="0"/>
          <w:numId w:val="35"/>
        </w:numPr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az alapul szolgáló üzleti stratégia;</w:t>
      </w:r>
    </w:p>
    <w:p w14:paraId="35314ADD" w14:textId="77777777" w:rsidR="00EE0868" w:rsidRPr="00E92F8A" w:rsidRDefault="00224C9D" w:rsidP="00E92F8A">
      <w:pPr>
        <w:pStyle w:val="Default"/>
        <w:numPr>
          <w:ilvl w:val="0"/>
          <w:numId w:val="35"/>
        </w:numPr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az üzleti tevékenységek struktúrája, valamint az üzleti tevékenységek kockázatainak</w:t>
      </w:r>
      <w:r w:rsidR="00EE0868" w:rsidRPr="00D272F5">
        <w:rPr>
          <w:rStyle w:val="markedcontent"/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időhorizontjai, mérhetősége és kiszámíthatósága;</w:t>
      </w:r>
    </w:p>
    <w:p w14:paraId="4C78FDB2" w14:textId="77777777" w:rsidR="00EE0868" w:rsidRPr="00E92F8A" w:rsidRDefault="00224C9D" w:rsidP="00E92F8A">
      <w:pPr>
        <w:pStyle w:val="Default"/>
        <w:numPr>
          <w:ilvl w:val="0"/>
          <w:numId w:val="35"/>
        </w:numPr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lastRenderedPageBreak/>
        <w:t>a</w:t>
      </w:r>
      <w:r w:rsidR="00EE0868" w:rsidRPr="00E92F8A">
        <w:rPr>
          <w:rStyle w:val="markedcontent"/>
          <w:rFonts w:ascii="Times New Roman" w:hAnsi="Times New Roman" w:cs="Times New Roman"/>
        </w:rPr>
        <w:t xml:space="preserve"> Bank</w:t>
      </w:r>
      <w:r w:rsidRPr="00E92F8A">
        <w:rPr>
          <w:rStyle w:val="markedcontent"/>
          <w:rFonts w:ascii="Times New Roman" w:hAnsi="Times New Roman" w:cs="Times New Roman"/>
        </w:rPr>
        <w:t xml:space="preserve"> finanszírozási struktúrája;</w:t>
      </w:r>
    </w:p>
    <w:p w14:paraId="160DA12E" w14:textId="77777777" w:rsidR="00EE0868" w:rsidRPr="00D272F5" w:rsidRDefault="00224C9D" w:rsidP="00E92F8A">
      <w:pPr>
        <w:pStyle w:val="Default"/>
        <w:numPr>
          <w:ilvl w:val="0"/>
          <w:numId w:val="35"/>
        </w:numPr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</w:t>
      </w:r>
      <w:r w:rsidR="00EE0868" w:rsidRPr="00E92F8A">
        <w:rPr>
          <w:rStyle w:val="markedcontent"/>
          <w:rFonts w:ascii="Times New Roman" w:hAnsi="Times New Roman" w:cs="Times New Roman"/>
        </w:rPr>
        <w:t xml:space="preserve"> Bank</w:t>
      </w:r>
      <w:r w:rsidRPr="00E92F8A">
        <w:rPr>
          <w:rStyle w:val="markedcontent"/>
          <w:rFonts w:ascii="Times New Roman" w:hAnsi="Times New Roman" w:cs="Times New Roman"/>
        </w:rPr>
        <w:t xml:space="preserve"> belső szervezeti felépítése, beleértve az azonosított munkavállalóknak</w:t>
      </w:r>
      <w:r w:rsidR="00EE0868" w:rsidRPr="00E92F8A">
        <w:rPr>
          <w:rStyle w:val="markedcontent"/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kifizethető teljesítményjavadalmazás</w:t>
      </w:r>
      <w:r w:rsidR="00EE0868" w:rsidRPr="00D272F5">
        <w:rPr>
          <w:rStyle w:val="markedcontent"/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szintjét;</w:t>
      </w:r>
    </w:p>
    <w:p w14:paraId="3E3F8EA0" w14:textId="77777777" w:rsidR="000622E7" w:rsidRPr="00E92F8A" w:rsidRDefault="00224C9D" w:rsidP="00E92F8A">
      <w:pPr>
        <w:pStyle w:val="Default"/>
        <w:numPr>
          <w:ilvl w:val="0"/>
          <w:numId w:val="35"/>
        </w:numPr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</w:t>
      </w:r>
      <w:r w:rsidR="00EE0868" w:rsidRPr="00E92F8A">
        <w:rPr>
          <w:rStyle w:val="markedcontent"/>
          <w:rFonts w:ascii="Times New Roman" w:hAnsi="Times New Roman" w:cs="Times New Roman"/>
        </w:rPr>
        <w:t xml:space="preserve"> Bank</w:t>
      </w:r>
      <w:r w:rsidRPr="00E92F8A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92F8A">
        <w:rPr>
          <w:rStyle w:val="markedcontent"/>
          <w:rFonts w:ascii="Times New Roman" w:hAnsi="Times New Roman" w:cs="Times New Roman"/>
        </w:rPr>
        <w:t>eredménykimutatásának</w:t>
      </w:r>
      <w:proofErr w:type="spellEnd"/>
      <w:r w:rsidRPr="00E92F8A">
        <w:rPr>
          <w:rStyle w:val="markedcontent"/>
          <w:rFonts w:ascii="Times New Roman" w:hAnsi="Times New Roman" w:cs="Times New Roman"/>
        </w:rPr>
        <w:t xml:space="preserve"> struktúrája;</w:t>
      </w:r>
    </w:p>
    <w:p w14:paraId="00D4ECD0" w14:textId="77777777" w:rsidR="00510F0D" w:rsidRPr="00E92F8A" w:rsidRDefault="00224C9D" w:rsidP="00E92F8A">
      <w:pPr>
        <w:pStyle w:val="Default"/>
        <w:numPr>
          <w:ilvl w:val="0"/>
          <w:numId w:val="35"/>
        </w:numPr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az ügyfélkör (például lakossági, vállalati, kisvállalkozások, közintézmények);</w:t>
      </w:r>
    </w:p>
    <w:p w14:paraId="581700D3" w14:textId="7F8CB466" w:rsidR="00745782" w:rsidRPr="00D167D9" w:rsidRDefault="00224C9D" w:rsidP="00E92F8A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 termékek vagy szerződések összetettsége.</w:t>
      </w:r>
      <w:r w:rsidR="00745782" w:rsidRPr="00D272F5">
        <w:rPr>
          <w:rFonts w:ascii="Times New Roman" w:hAnsi="Times New Roman" w:cs="Times New Roman"/>
        </w:rPr>
        <w:t xml:space="preserve"> </w:t>
      </w:r>
    </w:p>
    <w:p w14:paraId="364F147B" w14:textId="77777777" w:rsidR="00510F0D" w:rsidRPr="004D0938" w:rsidRDefault="00510F0D" w:rsidP="00E92F8A">
      <w:pPr>
        <w:pStyle w:val="Default"/>
        <w:ind w:left="1068"/>
        <w:jc w:val="both"/>
        <w:rPr>
          <w:rFonts w:ascii="Times New Roman" w:hAnsi="Times New Roman" w:cs="Times New Roman"/>
        </w:rPr>
      </w:pPr>
    </w:p>
    <w:p w14:paraId="23D92C4D" w14:textId="03950925" w:rsidR="004713D9" w:rsidRPr="00D272F5" w:rsidRDefault="00674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13D">
        <w:rPr>
          <w:rFonts w:ascii="Times New Roman" w:hAnsi="Times New Roman" w:cs="Times New Roman"/>
          <w:sz w:val="24"/>
          <w:szCs w:val="24"/>
        </w:rPr>
        <w:t xml:space="preserve">Figyelembe véve </w:t>
      </w:r>
      <w:r w:rsidR="00A844A6" w:rsidRPr="00E92F8A">
        <w:rPr>
          <w:rFonts w:ascii="Times New Roman" w:hAnsi="Times New Roman" w:cs="Times New Roman"/>
          <w:sz w:val="24"/>
          <w:szCs w:val="24"/>
        </w:rPr>
        <w:t xml:space="preserve">ezeket </w:t>
      </w:r>
      <w:r w:rsidRPr="00D272F5">
        <w:rPr>
          <w:rFonts w:ascii="Times New Roman" w:hAnsi="Times New Roman" w:cs="Times New Roman"/>
          <w:sz w:val="24"/>
          <w:szCs w:val="24"/>
        </w:rPr>
        <w:t xml:space="preserve">a </w:t>
      </w:r>
      <w:r w:rsidRPr="004D0938">
        <w:rPr>
          <w:rFonts w:ascii="Times New Roman" w:hAnsi="Times New Roman" w:cs="Times New Roman"/>
          <w:sz w:val="24"/>
          <w:szCs w:val="24"/>
        </w:rPr>
        <w:t xml:space="preserve"> szempontokat</w:t>
      </w:r>
      <w:r w:rsidR="00E26E1E" w:rsidRPr="002E4454">
        <w:rPr>
          <w:rFonts w:ascii="Times New Roman" w:hAnsi="Times New Roman" w:cs="Times New Roman"/>
          <w:sz w:val="24"/>
          <w:szCs w:val="24"/>
        </w:rPr>
        <w:t xml:space="preserve"> – kiemelten</w:t>
      </w:r>
      <w:r w:rsidR="00A844A6" w:rsidRPr="00E92F8A">
        <w:rPr>
          <w:rFonts w:ascii="Times New Roman" w:hAnsi="Times New Roman" w:cs="Times New Roman"/>
          <w:sz w:val="24"/>
          <w:szCs w:val="24"/>
        </w:rPr>
        <w:t xml:space="preserve"> (1) a Bank a CRR. 4. cikk (1) bekezdés 145. pontja szerinti kis méretű, nem összetett intézmény, (2) a Bank megfelel </w:t>
      </w:r>
      <w:r w:rsidR="003461D6" w:rsidRPr="00E92F8A">
        <w:rPr>
          <w:rFonts w:ascii="Times New Roman" w:hAnsi="Times New Roman" w:cs="Times New Roman"/>
          <w:sz w:val="24"/>
          <w:szCs w:val="24"/>
        </w:rPr>
        <w:t xml:space="preserve">a Hpt. </w:t>
      </w:r>
      <w:r w:rsidR="00A844A6" w:rsidRPr="00E92F8A">
        <w:rPr>
          <w:rFonts w:ascii="Times New Roman" w:hAnsi="Times New Roman" w:cs="Times New Roman"/>
          <w:sz w:val="24"/>
          <w:szCs w:val="24"/>
        </w:rPr>
        <w:t>teljesítményjavadalmazás kifizetését érintő mentességek</w:t>
      </w:r>
      <w:r w:rsidR="003461D6" w:rsidRPr="00E92F8A">
        <w:rPr>
          <w:rFonts w:ascii="Times New Roman" w:hAnsi="Times New Roman" w:cs="Times New Roman"/>
          <w:sz w:val="24"/>
          <w:szCs w:val="24"/>
        </w:rPr>
        <w:t>re vonatkozó</w:t>
      </w:r>
      <w:r w:rsidR="00A844A6" w:rsidRPr="00E92F8A">
        <w:rPr>
          <w:rFonts w:ascii="Times New Roman" w:hAnsi="Times New Roman" w:cs="Times New Roman"/>
          <w:sz w:val="24"/>
          <w:szCs w:val="24"/>
        </w:rPr>
        <w:t xml:space="preserve"> előírásainak</w:t>
      </w:r>
      <w:r w:rsidR="003461D6" w:rsidRPr="00E92F8A">
        <w:rPr>
          <w:rFonts w:ascii="Times New Roman" w:hAnsi="Times New Roman" w:cs="Times New Roman"/>
          <w:sz w:val="24"/>
          <w:szCs w:val="24"/>
        </w:rPr>
        <w:t>,</w:t>
      </w:r>
      <w:r w:rsidR="00A844A6" w:rsidRPr="00E92F8A">
        <w:rPr>
          <w:rFonts w:ascii="Times New Roman" w:hAnsi="Times New Roman" w:cs="Times New Roman"/>
          <w:sz w:val="24"/>
          <w:szCs w:val="24"/>
        </w:rPr>
        <w:t xml:space="preserve">  </w:t>
      </w:r>
      <w:r w:rsidR="00E26E1E" w:rsidRPr="00D272F5">
        <w:rPr>
          <w:rFonts w:ascii="Times New Roman" w:hAnsi="Times New Roman" w:cs="Times New Roman"/>
          <w:sz w:val="24"/>
          <w:szCs w:val="24"/>
        </w:rPr>
        <w:t xml:space="preserve"> (</w:t>
      </w:r>
      <w:r w:rsidR="003461D6" w:rsidRPr="00E92F8A">
        <w:rPr>
          <w:rFonts w:ascii="Times New Roman" w:hAnsi="Times New Roman" w:cs="Times New Roman"/>
          <w:sz w:val="24"/>
          <w:szCs w:val="24"/>
        </w:rPr>
        <w:t>3</w:t>
      </w:r>
      <w:r w:rsidR="00E26E1E" w:rsidRPr="00D272F5">
        <w:rPr>
          <w:rFonts w:ascii="Times New Roman" w:hAnsi="Times New Roman" w:cs="Times New Roman"/>
          <w:sz w:val="24"/>
          <w:szCs w:val="24"/>
        </w:rPr>
        <w:t xml:space="preserve">) a Duna </w:t>
      </w:r>
      <w:r w:rsidR="00E26E1E" w:rsidRPr="00D167D9">
        <w:rPr>
          <w:rFonts w:ascii="Times New Roman" w:hAnsi="Times New Roman" w:cs="Times New Roman"/>
          <w:sz w:val="24"/>
          <w:szCs w:val="24"/>
        </w:rPr>
        <w:t xml:space="preserve">Takarék Bank </w:t>
      </w:r>
      <w:proofErr w:type="spellStart"/>
      <w:r w:rsidR="00E26E1E" w:rsidRPr="00D167D9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E26E1E" w:rsidRPr="00D167D9">
        <w:rPr>
          <w:rFonts w:ascii="Times New Roman" w:hAnsi="Times New Roman" w:cs="Times New Roman"/>
          <w:sz w:val="24"/>
          <w:szCs w:val="24"/>
        </w:rPr>
        <w:t>. mérlegfőösszeg</w:t>
      </w:r>
      <w:r w:rsidR="00510F0D" w:rsidRPr="00E92F8A">
        <w:rPr>
          <w:rFonts w:ascii="Times New Roman" w:hAnsi="Times New Roman" w:cs="Times New Roman"/>
          <w:sz w:val="24"/>
          <w:szCs w:val="24"/>
        </w:rPr>
        <w:t>ét</w:t>
      </w:r>
      <w:r w:rsidR="00E26E1E" w:rsidRPr="00D272F5">
        <w:rPr>
          <w:rFonts w:ascii="Times New Roman" w:hAnsi="Times New Roman" w:cs="Times New Roman"/>
          <w:sz w:val="24"/>
          <w:szCs w:val="24"/>
        </w:rPr>
        <w:t>, (</w:t>
      </w:r>
      <w:r w:rsidR="003461D6" w:rsidRPr="00E92F8A">
        <w:rPr>
          <w:rFonts w:ascii="Times New Roman" w:hAnsi="Times New Roman" w:cs="Times New Roman"/>
          <w:sz w:val="24"/>
          <w:szCs w:val="24"/>
        </w:rPr>
        <w:t>4</w:t>
      </w:r>
      <w:r w:rsidR="00E26E1E" w:rsidRPr="00D167D9">
        <w:rPr>
          <w:rFonts w:ascii="Times New Roman" w:hAnsi="Times New Roman" w:cs="Times New Roman"/>
          <w:sz w:val="24"/>
          <w:szCs w:val="24"/>
        </w:rPr>
        <w:t>) szervezeti sajátosság</w:t>
      </w:r>
      <w:r w:rsidR="00510F0D" w:rsidRPr="00E92F8A">
        <w:rPr>
          <w:rFonts w:ascii="Times New Roman" w:hAnsi="Times New Roman" w:cs="Times New Roman"/>
          <w:sz w:val="24"/>
          <w:szCs w:val="24"/>
        </w:rPr>
        <w:t>át</w:t>
      </w:r>
      <w:r w:rsidR="00E26E1E" w:rsidRPr="00D272F5">
        <w:rPr>
          <w:rFonts w:ascii="Times New Roman" w:hAnsi="Times New Roman" w:cs="Times New Roman"/>
          <w:sz w:val="24"/>
          <w:szCs w:val="24"/>
        </w:rPr>
        <w:t xml:space="preserve"> és földrajzi</w:t>
      </w:r>
      <w:r w:rsidR="003461D6" w:rsidRPr="00E92F8A">
        <w:rPr>
          <w:rFonts w:ascii="Times New Roman" w:hAnsi="Times New Roman" w:cs="Times New Roman"/>
          <w:sz w:val="24"/>
          <w:szCs w:val="24"/>
        </w:rPr>
        <w:t xml:space="preserve"> jelenlét</w:t>
      </w:r>
      <w:r w:rsidR="00510F0D" w:rsidRPr="00E92F8A">
        <w:rPr>
          <w:rFonts w:ascii="Times New Roman" w:hAnsi="Times New Roman" w:cs="Times New Roman"/>
          <w:sz w:val="24"/>
          <w:szCs w:val="24"/>
        </w:rPr>
        <w:t>ét</w:t>
      </w:r>
      <w:r w:rsidR="00E26E1E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="00E26E1E" w:rsidRPr="004D0938">
        <w:rPr>
          <w:rFonts w:ascii="Times New Roman" w:hAnsi="Times New Roman" w:cs="Times New Roman"/>
          <w:sz w:val="24"/>
          <w:szCs w:val="24"/>
        </w:rPr>
        <w:t>, (3) tevékenységének jelleg</w:t>
      </w:r>
      <w:r w:rsidR="00510F0D" w:rsidRPr="00E92F8A">
        <w:rPr>
          <w:rFonts w:ascii="Times New Roman" w:hAnsi="Times New Roman" w:cs="Times New Roman"/>
          <w:sz w:val="24"/>
          <w:szCs w:val="24"/>
        </w:rPr>
        <w:t>ét</w:t>
      </w:r>
      <w:r w:rsidR="00E26E1E" w:rsidRPr="00D272F5">
        <w:rPr>
          <w:rFonts w:ascii="Times New Roman" w:hAnsi="Times New Roman" w:cs="Times New Roman"/>
          <w:sz w:val="24"/>
          <w:szCs w:val="24"/>
        </w:rPr>
        <w:t xml:space="preserve"> és összetettség</w:t>
      </w:r>
      <w:r w:rsidR="00510F0D" w:rsidRPr="00E92F8A">
        <w:rPr>
          <w:rFonts w:ascii="Times New Roman" w:hAnsi="Times New Roman" w:cs="Times New Roman"/>
          <w:sz w:val="24"/>
          <w:szCs w:val="24"/>
        </w:rPr>
        <w:t>ét</w:t>
      </w:r>
      <w:r w:rsidR="00E26E1E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="004B4243" w:rsidRPr="00E92F8A">
        <w:rPr>
          <w:rFonts w:ascii="Times New Roman" w:hAnsi="Times New Roman" w:cs="Times New Roman"/>
          <w:sz w:val="24"/>
          <w:szCs w:val="24"/>
        </w:rPr>
        <w:t xml:space="preserve">- </w:t>
      </w:r>
      <w:r w:rsidR="00697B75" w:rsidRPr="00E92F8A">
        <w:rPr>
          <w:rFonts w:ascii="Times New Roman" w:hAnsi="Times New Roman" w:cs="Times New Roman"/>
          <w:sz w:val="24"/>
          <w:szCs w:val="24"/>
        </w:rPr>
        <w:t xml:space="preserve"> </w:t>
      </w:r>
      <w:r w:rsidR="00A85586" w:rsidRPr="00D167D9">
        <w:rPr>
          <w:rFonts w:ascii="Times New Roman" w:hAnsi="Times New Roman" w:cs="Times New Roman"/>
          <w:sz w:val="24"/>
          <w:szCs w:val="24"/>
        </w:rPr>
        <w:t xml:space="preserve"> </w:t>
      </w:r>
      <w:r w:rsidR="00E26E1E" w:rsidRPr="004D0938">
        <w:rPr>
          <w:rFonts w:ascii="Times New Roman" w:hAnsi="Times New Roman" w:cs="Times New Roman"/>
          <w:sz w:val="24"/>
          <w:szCs w:val="24"/>
        </w:rPr>
        <w:t xml:space="preserve">alkalmazásra került az </w:t>
      </w:r>
      <w:r w:rsidR="00E26E1E" w:rsidRPr="002E4454">
        <w:rPr>
          <w:rFonts w:ascii="Times New Roman" w:hAnsi="Times New Roman" w:cs="Times New Roman"/>
          <w:sz w:val="24"/>
          <w:szCs w:val="24"/>
        </w:rPr>
        <w:t>arányosság elve</w:t>
      </w:r>
      <w:r w:rsidR="003461D6" w:rsidRPr="00E92F8A">
        <w:rPr>
          <w:rFonts w:ascii="Times New Roman" w:hAnsi="Times New Roman" w:cs="Times New Roman"/>
          <w:sz w:val="24"/>
          <w:szCs w:val="24"/>
        </w:rPr>
        <w:t>.</w:t>
      </w:r>
      <w:r w:rsidR="003461D6" w:rsidRPr="00E92F8A" w:rsidDel="00346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53BFF" w14:textId="521CFE54" w:rsidR="0002573C" w:rsidRPr="002E4454" w:rsidRDefault="0002573C" w:rsidP="00471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A Bank az arányosság elvét addig alkalmazza, amíg </w:t>
      </w:r>
      <w:r w:rsidR="009639CF" w:rsidRPr="00E92F8A">
        <w:rPr>
          <w:rFonts w:ascii="Times New Roman" w:hAnsi="Times New Roman" w:cs="Times New Roman"/>
          <w:sz w:val="24"/>
          <w:szCs w:val="24"/>
        </w:rPr>
        <w:t xml:space="preserve">megfelel a kis méretű, nem összetett intézmény kritériumának a CRR. 4. cikk (1) bekezdés 145. pontjának meghatározása alapján, </w:t>
      </w:r>
      <w:r w:rsidR="000B4E2B" w:rsidRPr="00E92F8A">
        <w:rPr>
          <w:rFonts w:ascii="Times New Roman" w:hAnsi="Times New Roman" w:cs="Times New Roman"/>
          <w:sz w:val="24"/>
          <w:szCs w:val="24"/>
        </w:rPr>
        <w:t>valamint a Hpt. 119. § (5) bekezdés a) és b) pontja szerinti feltételeknek és értékhatároknak</w:t>
      </w:r>
      <w:r w:rsidRPr="0010413D">
        <w:rPr>
          <w:rFonts w:ascii="Times New Roman" w:hAnsi="Times New Roman" w:cs="Times New Roman"/>
          <w:sz w:val="24"/>
          <w:szCs w:val="24"/>
        </w:rPr>
        <w:t>. A fenti feltételeknek való megfelelést a Felügyelő Bizottság a javadalmazással kapcsolatos döntéseket meghozó – az évi rendes közgyűlést megelőző – ülésén</w:t>
      </w:r>
      <w:r w:rsidRPr="009E5A4B">
        <w:rPr>
          <w:rFonts w:ascii="Times New Roman" w:hAnsi="Times New Roman" w:cs="Times New Roman"/>
          <w:sz w:val="24"/>
          <w:szCs w:val="24"/>
        </w:rPr>
        <w:t xml:space="preserve"> vizsgálja meg. Amennyiben a Bank a Felügyelő Bizottság</w:t>
      </w:r>
      <w:r w:rsidR="00524078" w:rsidRPr="00D272F5">
        <w:rPr>
          <w:rFonts w:ascii="Times New Roman" w:hAnsi="Times New Roman" w:cs="Times New Roman"/>
          <w:sz w:val="24"/>
          <w:szCs w:val="24"/>
        </w:rPr>
        <w:t>a</w:t>
      </w:r>
      <w:r w:rsidRPr="00D272F5">
        <w:rPr>
          <w:rFonts w:ascii="Times New Roman" w:hAnsi="Times New Roman" w:cs="Times New Roman"/>
          <w:sz w:val="24"/>
          <w:szCs w:val="24"/>
        </w:rPr>
        <w:t xml:space="preserve"> döntése alapjá</w:t>
      </w:r>
      <w:r w:rsidR="00524078" w:rsidRPr="00D272F5">
        <w:rPr>
          <w:rFonts w:ascii="Times New Roman" w:hAnsi="Times New Roman" w:cs="Times New Roman"/>
          <w:sz w:val="24"/>
          <w:szCs w:val="24"/>
        </w:rPr>
        <w:t xml:space="preserve">n megfelel az arányossági feltételeknek, úgy az arányosság elve a következő rendes (vagy mérleg elfogadó) közgyűlésig alkalmazható marad. </w:t>
      </w:r>
      <w:r w:rsidR="000B4E2B" w:rsidRPr="00E92F8A">
        <w:rPr>
          <w:rFonts w:ascii="Times New Roman" w:hAnsi="Times New Roman" w:cs="Times New Roman"/>
          <w:sz w:val="24"/>
          <w:szCs w:val="24"/>
        </w:rPr>
        <w:t xml:space="preserve"> Amennyiben a Bank nem felel meg a CRR, </w:t>
      </w:r>
      <w:r w:rsidR="003C4AC2" w:rsidRPr="00E92F8A">
        <w:rPr>
          <w:rFonts w:ascii="Times New Roman" w:hAnsi="Times New Roman" w:cs="Times New Roman"/>
          <w:sz w:val="24"/>
          <w:szCs w:val="24"/>
        </w:rPr>
        <w:t>és/vagy</w:t>
      </w:r>
      <w:r w:rsidR="000B4E2B" w:rsidRPr="00E92F8A">
        <w:rPr>
          <w:rFonts w:ascii="Times New Roman" w:hAnsi="Times New Roman" w:cs="Times New Roman"/>
          <w:sz w:val="24"/>
          <w:szCs w:val="24"/>
        </w:rPr>
        <w:t xml:space="preserve"> a Hpt. hivatkozott ren</w:t>
      </w:r>
      <w:r w:rsidR="003C4AC2" w:rsidRPr="00E92F8A">
        <w:rPr>
          <w:rFonts w:ascii="Times New Roman" w:hAnsi="Times New Roman" w:cs="Times New Roman"/>
          <w:sz w:val="24"/>
          <w:szCs w:val="24"/>
        </w:rPr>
        <w:t xml:space="preserve">delkezéseiben előírt feltételeknek, </w:t>
      </w:r>
      <w:r w:rsidR="00F43D37" w:rsidRPr="00D272F5">
        <w:rPr>
          <w:rFonts w:ascii="Times New Roman" w:hAnsi="Times New Roman" w:cs="Times New Roman"/>
          <w:sz w:val="24"/>
          <w:szCs w:val="24"/>
        </w:rPr>
        <w:t xml:space="preserve">akkor azonnali hatállyal megszünteti az arányosság elvének használatát. </w:t>
      </w:r>
      <w:r w:rsidR="00E756A2" w:rsidRPr="00D167D9">
        <w:rPr>
          <w:rFonts w:ascii="Times New Roman" w:hAnsi="Times New Roman" w:cs="Times New Roman"/>
          <w:sz w:val="24"/>
          <w:szCs w:val="24"/>
        </w:rPr>
        <w:t>Az arányosság elve alkalmazhatóságának feltételeit a Bank fo</w:t>
      </w:r>
      <w:r w:rsidR="00E756A2" w:rsidRPr="004D0938">
        <w:rPr>
          <w:rFonts w:ascii="Times New Roman" w:hAnsi="Times New Roman" w:cs="Times New Roman"/>
          <w:sz w:val="24"/>
          <w:szCs w:val="24"/>
        </w:rPr>
        <w:t>lyamatosan nyomon követi</w:t>
      </w:r>
      <w:r w:rsidR="00F03124" w:rsidRPr="00E92F8A">
        <w:rPr>
          <w:rFonts w:ascii="Times New Roman" w:hAnsi="Times New Roman" w:cs="Times New Roman"/>
          <w:sz w:val="24"/>
          <w:szCs w:val="24"/>
        </w:rPr>
        <w:t xml:space="preserve">. </w:t>
      </w:r>
      <w:r w:rsidR="00C91F97" w:rsidRPr="00E92F8A">
        <w:rPr>
          <w:rFonts w:ascii="Times New Roman" w:hAnsi="Times New Roman" w:cs="Times New Roman"/>
          <w:sz w:val="24"/>
          <w:szCs w:val="24"/>
        </w:rPr>
        <w:t xml:space="preserve">A Kockázatkezelési és </w:t>
      </w:r>
      <w:proofErr w:type="spellStart"/>
      <w:r w:rsidR="00C91F97" w:rsidRPr="00E92F8A">
        <w:rPr>
          <w:rFonts w:ascii="Times New Roman" w:hAnsi="Times New Roman" w:cs="Times New Roman"/>
          <w:sz w:val="24"/>
          <w:szCs w:val="24"/>
        </w:rPr>
        <w:t>Work-Out</w:t>
      </w:r>
      <w:proofErr w:type="spellEnd"/>
      <w:r w:rsidR="00C91F97" w:rsidRPr="00E92F8A">
        <w:rPr>
          <w:rFonts w:ascii="Times New Roman" w:hAnsi="Times New Roman" w:cs="Times New Roman"/>
          <w:sz w:val="24"/>
          <w:szCs w:val="24"/>
        </w:rPr>
        <w:t xml:space="preserve"> Szakterület</w:t>
      </w:r>
      <w:r w:rsidR="00C91F97" w:rsidRPr="00D272F5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C91F97" w:rsidRPr="00D167D9">
        <w:rPr>
          <w:rFonts w:ascii="Times New Roman" w:hAnsi="Times New Roman" w:cs="Times New Roman"/>
          <w:sz w:val="24"/>
          <w:szCs w:val="24"/>
        </w:rPr>
        <w:t xml:space="preserve">a </w:t>
      </w:r>
      <w:r w:rsidR="00F03124" w:rsidRPr="00E92F8A">
        <w:rPr>
          <w:rFonts w:ascii="Times New Roman" w:hAnsi="Times New Roman" w:cs="Times New Roman"/>
          <w:sz w:val="24"/>
          <w:szCs w:val="24"/>
        </w:rPr>
        <w:t xml:space="preserve">Kontrolling és Tőkemenedzsment Szakterület </w:t>
      </w:r>
      <w:r w:rsidR="00F03124" w:rsidRPr="00D272F5">
        <w:rPr>
          <w:rFonts w:ascii="Times New Roman" w:hAnsi="Times New Roman" w:cs="Times New Roman"/>
          <w:sz w:val="24"/>
          <w:szCs w:val="24"/>
        </w:rPr>
        <w:t xml:space="preserve">feladata vizsgálni és visszaigazolni, hogy a </w:t>
      </w:r>
      <w:r w:rsidR="00F03124" w:rsidRPr="00D167D9">
        <w:rPr>
          <w:rFonts w:ascii="Times New Roman" w:hAnsi="Times New Roman" w:cs="Times New Roman"/>
          <w:sz w:val="24"/>
          <w:szCs w:val="24"/>
        </w:rPr>
        <w:t>Bank megfelel a kis méretű,</w:t>
      </w:r>
      <w:r w:rsidR="00F03124" w:rsidRPr="004D0938">
        <w:rPr>
          <w:rFonts w:ascii="Times New Roman" w:hAnsi="Times New Roman" w:cs="Times New Roman"/>
          <w:sz w:val="24"/>
          <w:szCs w:val="24"/>
        </w:rPr>
        <w:t xml:space="preserve"> nem összetett intézmény besorolásnak és a Hpt. fe</w:t>
      </w:r>
      <w:r w:rsidR="0057290F" w:rsidRPr="002E4454">
        <w:rPr>
          <w:rFonts w:ascii="Times New Roman" w:hAnsi="Times New Roman" w:cs="Times New Roman"/>
          <w:sz w:val="24"/>
          <w:szCs w:val="24"/>
        </w:rPr>
        <w:t>n</w:t>
      </w:r>
      <w:r w:rsidR="00F03124" w:rsidRPr="00947258">
        <w:rPr>
          <w:rFonts w:ascii="Times New Roman" w:hAnsi="Times New Roman" w:cs="Times New Roman"/>
          <w:sz w:val="24"/>
          <w:szCs w:val="24"/>
        </w:rPr>
        <w:t xml:space="preserve">tiekben </w:t>
      </w:r>
      <w:r w:rsidR="00F03124" w:rsidRPr="00BF0006">
        <w:rPr>
          <w:rFonts w:ascii="Times New Roman" w:hAnsi="Times New Roman" w:cs="Times New Roman"/>
          <w:sz w:val="24"/>
          <w:szCs w:val="24"/>
        </w:rPr>
        <w:t>hivatkozott rendelkezéseiben előírt kritériumoknak</w:t>
      </w:r>
      <w:r w:rsidR="00C91F97" w:rsidRPr="00E92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4D9BD" w14:textId="77777777" w:rsidR="004713D9" w:rsidRPr="0028364C" w:rsidRDefault="004713D9" w:rsidP="00471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721522" w14:textId="6B3CBB0B" w:rsidR="00BA2A5E" w:rsidRPr="0028364C" w:rsidRDefault="00C7707F" w:rsidP="009019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Javadalm</w:t>
      </w:r>
      <w:r w:rsidR="00323A14" w:rsidRPr="0028364C">
        <w:rPr>
          <w:rFonts w:ascii="Times New Roman" w:hAnsi="Times New Roman" w:cs="Times New Roman"/>
          <w:sz w:val="24"/>
          <w:szCs w:val="24"/>
        </w:rPr>
        <w:t xml:space="preserve">azási Politika </w:t>
      </w:r>
      <w:r w:rsidR="007B5FAA">
        <w:rPr>
          <w:rFonts w:ascii="Times New Roman" w:hAnsi="Times New Roman" w:cs="Times New Roman"/>
          <w:sz w:val="24"/>
          <w:szCs w:val="24"/>
        </w:rPr>
        <w:t>a Bank</w:t>
      </w:r>
      <w:r w:rsidRPr="0028364C">
        <w:rPr>
          <w:rFonts w:ascii="Times New Roman" w:hAnsi="Times New Roman" w:cs="Times New Roman"/>
          <w:sz w:val="24"/>
          <w:szCs w:val="24"/>
        </w:rPr>
        <w:t xml:space="preserve"> minden</w:t>
      </w:r>
      <w:r w:rsidR="00323A14" w:rsidRPr="0028364C">
        <w:rPr>
          <w:rFonts w:ascii="Times New Roman" w:hAnsi="Times New Roman" w:cs="Times New Roman"/>
          <w:sz w:val="24"/>
          <w:szCs w:val="24"/>
        </w:rPr>
        <w:t xml:space="preserve"> vezető állású személyére</w:t>
      </w:r>
      <w:r w:rsidRPr="0028364C">
        <w:rPr>
          <w:rFonts w:ascii="Times New Roman" w:hAnsi="Times New Roman" w:cs="Times New Roman"/>
          <w:sz w:val="24"/>
          <w:szCs w:val="24"/>
        </w:rPr>
        <w:t xml:space="preserve"> és munkaviszonyban álló munkavállalójára kiterjed, az általános szabályokon túl a Hpt. 117. § (2) </w:t>
      </w:r>
      <w:r w:rsidR="00D24C9E">
        <w:rPr>
          <w:rFonts w:ascii="Times New Roman" w:hAnsi="Times New Roman" w:cs="Times New Roman"/>
          <w:sz w:val="24"/>
          <w:szCs w:val="24"/>
        </w:rPr>
        <w:t xml:space="preserve">és (2a) </w:t>
      </w:r>
      <w:r w:rsidRPr="0028364C">
        <w:rPr>
          <w:rFonts w:ascii="Times New Roman" w:hAnsi="Times New Roman" w:cs="Times New Roman"/>
          <w:sz w:val="24"/>
          <w:szCs w:val="24"/>
        </w:rPr>
        <w:t>bekezdés jogszabályhelye</w:t>
      </w:r>
      <w:r w:rsidR="00B45A0B">
        <w:rPr>
          <w:rFonts w:ascii="Times New Roman" w:hAnsi="Times New Roman" w:cs="Times New Roman"/>
          <w:sz w:val="24"/>
          <w:szCs w:val="24"/>
        </w:rPr>
        <w:t>k</w:t>
      </w:r>
      <w:r w:rsidRPr="0028364C">
        <w:rPr>
          <w:rFonts w:ascii="Times New Roman" w:hAnsi="Times New Roman" w:cs="Times New Roman"/>
          <w:sz w:val="24"/>
          <w:szCs w:val="24"/>
        </w:rPr>
        <w:t xml:space="preserve">en meghatározott </w:t>
      </w:r>
      <w:r w:rsidR="00E33CCC" w:rsidRPr="0028364C">
        <w:rPr>
          <w:rFonts w:ascii="Times New Roman" w:hAnsi="Times New Roman" w:cs="Times New Roman"/>
          <w:sz w:val="24"/>
          <w:szCs w:val="24"/>
        </w:rPr>
        <w:t>azonosított</w:t>
      </w:r>
      <w:r w:rsidRPr="0028364C">
        <w:rPr>
          <w:rFonts w:ascii="Times New Roman" w:hAnsi="Times New Roman" w:cs="Times New Roman"/>
          <w:sz w:val="24"/>
          <w:szCs w:val="24"/>
        </w:rPr>
        <w:t xml:space="preserve"> személyi körre vonatkozó speciális szabályokat is meghatároz.</w:t>
      </w:r>
    </w:p>
    <w:p w14:paraId="24A17B5E" w14:textId="672DA3AB" w:rsidR="009019E6" w:rsidRPr="0028364C" w:rsidRDefault="009019E6" w:rsidP="009019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323A14" w:rsidRPr="0028364C">
        <w:rPr>
          <w:rFonts w:ascii="Times New Roman" w:hAnsi="Times New Roman" w:cs="Times New Roman"/>
          <w:sz w:val="24"/>
          <w:szCs w:val="24"/>
        </w:rPr>
        <w:t>kockázatvállalásra jelentős hatást gyakorló vezető állású személyek és munkavállalók körébe azok tartoznak, akik teljesítik a</w:t>
      </w:r>
      <w:r w:rsidR="00FE51F7">
        <w:rPr>
          <w:rFonts w:ascii="Times New Roman" w:hAnsi="Times New Roman" w:cs="Times New Roman"/>
          <w:sz w:val="24"/>
          <w:szCs w:val="24"/>
        </w:rPr>
        <w:t>z EU</w:t>
      </w:r>
      <w:r w:rsidR="00323A14" w:rsidRPr="0028364C">
        <w:rPr>
          <w:rFonts w:ascii="Times New Roman" w:hAnsi="Times New Roman" w:cs="Times New Roman"/>
          <w:sz w:val="24"/>
          <w:szCs w:val="24"/>
        </w:rPr>
        <w:t xml:space="preserve"> 20</w:t>
      </w:r>
      <w:r w:rsidR="006261AD">
        <w:rPr>
          <w:rFonts w:ascii="Times New Roman" w:hAnsi="Times New Roman" w:cs="Times New Roman"/>
          <w:sz w:val="24"/>
          <w:szCs w:val="24"/>
        </w:rPr>
        <w:t>2</w:t>
      </w:r>
      <w:r w:rsidR="00323A14" w:rsidRPr="0028364C">
        <w:rPr>
          <w:rFonts w:ascii="Times New Roman" w:hAnsi="Times New Roman" w:cs="Times New Roman"/>
          <w:sz w:val="24"/>
          <w:szCs w:val="24"/>
        </w:rPr>
        <w:t>1/</w:t>
      </w:r>
      <w:r w:rsidR="00267945">
        <w:rPr>
          <w:rFonts w:ascii="Times New Roman" w:hAnsi="Times New Roman" w:cs="Times New Roman"/>
          <w:sz w:val="24"/>
          <w:szCs w:val="24"/>
        </w:rPr>
        <w:t xml:space="preserve">923 </w:t>
      </w:r>
      <w:r w:rsidR="00323A14" w:rsidRPr="0028364C">
        <w:rPr>
          <w:rFonts w:ascii="Times New Roman" w:hAnsi="Times New Roman" w:cs="Times New Roman"/>
          <w:sz w:val="24"/>
          <w:szCs w:val="24"/>
        </w:rPr>
        <w:t xml:space="preserve"> rendelet </w:t>
      </w:r>
      <w:r w:rsidR="006261AD">
        <w:rPr>
          <w:rFonts w:ascii="Times New Roman" w:hAnsi="Times New Roman" w:cs="Times New Roman"/>
          <w:sz w:val="24"/>
          <w:szCs w:val="24"/>
        </w:rPr>
        <w:t>5</w:t>
      </w:r>
      <w:r w:rsidR="00323A14" w:rsidRPr="0028364C">
        <w:rPr>
          <w:rFonts w:ascii="Times New Roman" w:hAnsi="Times New Roman" w:cs="Times New Roman"/>
          <w:sz w:val="24"/>
          <w:szCs w:val="24"/>
        </w:rPr>
        <w:t xml:space="preserve">. cikkében rögzített minőségi, vagy e rendelet </w:t>
      </w:r>
      <w:r w:rsidR="006261AD">
        <w:rPr>
          <w:rFonts w:ascii="Times New Roman" w:hAnsi="Times New Roman" w:cs="Times New Roman"/>
          <w:sz w:val="24"/>
          <w:szCs w:val="24"/>
        </w:rPr>
        <w:t>6</w:t>
      </w:r>
      <w:r w:rsidR="00323A14" w:rsidRPr="0028364C">
        <w:rPr>
          <w:rFonts w:ascii="Times New Roman" w:hAnsi="Times New Roman" w:cs="Times New Roman"/>
          <w:sz w:val="24"/>
          <w:szCs w:val="24"/>
        </w:rPr>
        <w:t xml:space="preserve">. cikkében rögzített mennyiségi kritériumok bármelyikét. </w:t>
      </w:r>
    </w:p>
    <w:p w14:paraId="62067999" w14:textId="77777777" w:rsidR="00C04949" w:rsidRPr="0028364C" w:rsidRDefault="00BA2A5E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Bank a kockázatvállalásra lényeges hatást gyakorló személyek</w:t>
      </w:r>
      <w:r w:rsidR="00C04949" w:rsidRPr="0028364C">
        <w:rPr>
          <w:rFonts w:ascii="Times New Roman" w:hAnsi="Times New Roman" w:cs="Times New Roman"/>
          <w:sz w:val="24"/>
          <w:szCs w:val="24"/>
        </w:rPr>
        <w:t xml:space="preserve"> körének</w:t>
      </w:r>
      <w:r w:rsidRPr="0028364C">
        <w:rPr>
          <w:rFonts w:ascii="Times New Roman" w:hAnsi="Times New Roman" w:cs="Times New Roman"/>
          <w:sz w:val="24"/>
          <w:szCs w:val="24"/>
        </w:rPr>
        <w:t xml:space="preserve"> meghatározása</w:t>
      </w:r>
      <w:r w:rsidR="00C04949" w:rsidRPr="0028364C">
        <w:rPr>
          <w:rFonts w:ascii="Times New Roman" w:hAnsi="Times New Roman" w:cs="Times New Roman"/>
          <w:sz w:val="24"/>
          <w:szCs w:val="24"/>
        </w:rPr>
        <w:t>kor az alábbi feltételeket vizsgálja:</w:t>
      </w:r>
    </w:p>
    <w:p w14:paraId="0B63A158" w14:textId="77777777" w:rsidR="003B182E" w:rsidRDefault="003B182E" w:rsidP="00C04949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 munkavállalók minősülnek vezető állású munkavállalónak,</w:t>
      </w:r>
    </w:p>
    <w:p w14:paraId="2D73C21E" w14:textId="06A21865" w:rsidR="00C7707F" w:rsidRPr="0028364C" w:rsidRDefault="00C04949" w:rsidP="00C04949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mely munkavállalók kerülnek beazonosításra a</w:t>
      </w:r>
      <w:r w:rsidR="00FE51F7">
        <w:rPr>
          <w:rFonts w:ascii="Times New Roman" w:hAnsi="Times New Roman" w:cs="Times New Roman"/>
          <w:sz w:val="24"/>
          <w:szCs w:val="24"/>
        </w:rPr>
        <w:t>z EU</w:t>
      </w:r>
      <w:r w:rsidRPr="0028364C">
        <w:rPr>
          <w:rFonts w:ascii="Times New Roman" w:hAnsi="Times New Roman" w:cs="Times New Roman"/>
          <w:sz w:val="24"/>
          <w:szCs w:val="24"/>
        </w:rPr>
        <w:t xml:space="preserve"> 20</w:t>
      </w:r>
      <w:r w:rsidR="00D96B47">
        <w:rPr>
          <w:rFonts w:ascii="Times New Roman" w:hAnsi="Times New Roman" w:cs="Times New Roman"/>
          <w:sz w:val="24"/>
          <w:szCs w:val="24"/>
        </w:rPr>
        <w:t>2</w:t>
      </w:r>
      <w:r w:rsidRPr="0028364C">
        <w:rPr>
          <w:rFonts w:ascii="Times New Roman" w:hAnsi="Times New Roman" w:cs="Times New Roman"/>
          <w:sz w:val="24"/>
          <w:szCs w:val="24"/>
        </w:rPr>
        <w:t>1/</w:t>
      </w:r>
      <w:r w:rsidR="00FE51F7">
        <w:rPr>
          <w:rFonts w:ascii="Times New Roman" w:hAnsi="Times New Roman" w:cs="Times New Roman"/>
          <w:sz w:val="24"/>
          <w:szCs w:val="24"/>
        </w:rPr>
        <w:t xml:space="preserve">923 </w:t>
      </w:r>
      <w:r w:rsidRPr="0028364C">
        <w:rPr>
          <w:rFonts w:ascii="Times New Roman" w:hAnsi="Times New Roman" w:cs="Times New Roman"/>
          <w:sz w:val="24"/>
          <w:szCs w:val="24"/>
        </w:rPr>
        <w:t xml:space="preserve"> rendelet alapján,</w:t>
      </w:r>
    </w:p>
    <w:p w14:paraId="4CEAC314" w14:textId="77777777" w:rsidR="00C04949" w:rsidRPr="0028364C" w:rsidRDefault="00C04949" w:rsidP="00C04949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mely munkavállalók gyakorolnak lényeges hatást az intézmény eredményére és mérlegfőösszegére,</w:t>
      </w:r>
    </w:p>
    <w:p w14:paraId="6BF61949" w14:textId="34ACAF93" w:rsidR="006855D9" w:rsidRPr="00D96B47" w:rsidRDefault="006855D9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47">
        <w:rPr>
          <w:rFonts w:ascii="Times New Roman" w:hAnsi="Times New Roman" w:cs="Times New Roman"/>
          <w:sz w:val="24"/>
          <w:szCs w:val="24"/>
        </w:rPr>
        <w:t xml:space="preserve">mely előző pénzügyi évben magas teljesítményjavadalmazásban részesült munkavállaló javadalmazása legalább százötvenmillió forint és legalább a vezető állású személyek részére juttatott átlagos javadalmazás, </w:t>
      </w:r>
      <w:r w:rsidR="00D96B47">
        <w:rPr>
          <w:rFonts w:ascii="Times New Roman" w:hAnsi="Times New Roman" w:cs="Times New Roman"/>
          <w:sz w:val="24"/>
          <w:szCs w:val="24"/>
        </w:rPr>
        <w:t>aki</w:t>
      </w:r>
      <w:r w:rsidR="00D96B47" w:rsidRPr="00D96B47">
        <w:rPr>
          <w:rFonts w:ascii="Times New Roman" w:hAnsi="Times New Roman" w:cs="Times New Roman"/>
          <w:sz w:val="24"/>
          <w:szCs w:val="24"/>
        </w:rPr>
        <w:t xml:space="preserve"> </w:t>
      </w:r>
      <w:r w:rsidRPr="00D96B47">
        <w:rPr>
          <w:rFonts w:ascii="Times New Roman" w:hAnsi="Times New Roman" w:cs="Times New Roman"/>
          <w:sz w:val="24"/>
          <w:szCs w:val="24"/>
        </w:rPr>
        <w:t xml:space="preserve">szakmai tevékenységét valamelyik lényeges szervezeti egységben </w:t>
      </w:r>
      <w:r w:rsidR="00D96B47">
        <w:rPr>
          <w:rFonts w:ascii="Times New Roman" w:hAnsi="Times New Roman" w:cs="Times New Roman"/>
          <w:sz w:val="24"/>
          <w:szCs w:val="24"/>
        </w:rPr>
        <w:t>végzi</w:t>
      </w:r>
      <w:r w:rsidRPr="00D96B47">
        <w:rPr>
          <w:rFonts w:ascii="Times New Roman" w:hAnsi="Times New Roman" w:cs="Times New Roman"/>
          <w:sz w:val="24"/>
          <w:szCs w:val="24"/>
        </w:rPr>
        <w:t>, ahol a tevé</w:t>
      </w:r>
      <w:r w:rsidRPr="00D96B47">
        <w:rPr>
          <w:rFonts w:ascii="Times New Roman" w:hAnsi="Times New Roman" w:cs="Times New Roman"/>
          <w:sz w:val="24"/>
          <w:szCs w:val="24"/>
        </w:rPr>
        <w:lastRenderedPageBreak/>
        <w:t>kenysége olyan jellegű, amely jelentős hatást gyakorol az érintett szervezeti egység kockázati profiljára,</w:t>
      </w:r>
    </w:p>
    <w:p w14:paraId="654AA95C" w14:textId="138E8089" w:rsidR="00C04949" w:rsidRPr="0028364C" w:rsidRDefault="00C04949" w:rsidP="00E92F8A">
      <w:pPr>
        <w:pStyle w:val="Listaszerbekezds"/>
        <w:spacing w:line="240" w:lineRule="auto"/>
        <w:ind w:left="1695"/>
        <w:jc w:val="both"/>
        <w:rPr>
          <w:rFonts w:ascii="Times New Roman" w:hAnsi="Times New Roman" w:cs="Times New Roman"/>
          <w:sz w:val="24"/>
          <w:szCs w:val="24"/>
        </w:rPr>
      </w:pPr>
    </w:p>
    <w:p w14:paraId="7C50191E" w14:textId="77777777" w:rsidR="006735C6" w:rsidRDefault="00C04949" w:rsidP="008A2050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mely munkavállalók látnak </w:t>
      </w:r>
      <w:r w:rsidR="00D2223A" w:rsidRPr="0028364C">
        <w:rPr>
          <w:rFonts w:ascii="Times New Roman" w:hAnsi="Times New Roman" w:cs="Times New Roman"/>
          <w:sz w:val="24"/>
          <w:szCs w:val="24"/>
        </w:rPr>
        <w:t>el belső kontroll funkciót (</w:t>
      </w:r>
      <w:proofErr w:type="spellStart"/>
      <w:r w:rsidRPr="0028364C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28364C">
        <w:rPr>
          <w:rFonts w:ascii="Times New Roman" w:hAnsi="Times New Roman" w:cs="Times New Roman"/>
          <w:sz w:val="24"/>
          <w:szCs w:val="24"/>
        </w:rPr>
        <w:t>, belső ellenőrzés, kockázatellenőrzés)</w:t>
      </w:r>
    </w:p>
    <w:p w14:paraId="2117A587" w14:textId="2335F0AE" w:rsidR="00D24C9E" w:rsidRDefault="00D24C9E" w:rsidP="008A2050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 munkavállalók a lényeges szervezeti egységekért vezetői felelősséggel tartozó munkavállalók</w:t>
      </w:r>
    </w:p>
    <w:p w14:paraId="7A0B61E6" w14:textId="6C0D8406" w:rsidR="003B182E" w:rsidRDefault="003B182E" w:rsidP="003B18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Annak megállapításához, hogy mely munkavállalók szakmai tevékenységei gyakorolnak jelentős hatást a Bank kockázati profiljára, a</w:t>
      </w:r>
      <w:r w:rsidR="00FE51F7">
        <w:rPr>
          <w:rFonts w:ascii="Times New Roman" w:hAnsi="Times New Roman" w:cs="Times New Roman"/>
          <w:sz w:val="24"/>
          <w:szCs w:val="24"/>
        </w:rPr>
        <w:t>z EU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FE51F7">
        <w:rPr>
          <w:rFonts w:ascii="Times New Roman" w:hAnsi="Times New Roman" w:cs="Times New Roman"/>
          <w:sz w:val="24"/>
          <w:szCs w:val="24"/>
        </w:rPr>
        <w:t>/923</w:t>
      </w:r>
      <w:r>
        <w:rPr>
          <w:rFonts w:ascii="Times New Roman" w:hAnsi="Times New Roman" w:cs="Times New Roman"/>
          <w:sz w:val="24"/>
          <w:szCs w:val="24"/>
        </w:rPr>
        <w:t xml:space="preserve"> rendelet 3. és 4. cikkében foglalt szempontokat is figyelembe kell venni. </w:t>
      </w:r>
    </w:p>
    <w:p w14:paraId="27E086EA" w14:textId="39A4FE93" w:rsidR="006735C6" w:rsidRPr="0028364C" w:rsidRDefault="006735C6" w:rsidP="009019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</w:t>
      </w:r>
      <w:r w:rsidR="00267945">
        <w:rPr>
          <w:rFonts w:ascii="Times New Roman" w:hAnsi="Times New Roman" w:cs="Times New Roman"/>
          <w:sz w:val="24"/>
          <w:szCs w:val="24"/>
        </w:rPr>
        <w:t>z</w:t>
      </w:r>
      <w:r w:rsidRPr="0028364C">
        <w:rPr>
          <w:rFonts w:ascii="Times New Roman" w:hAnsi="Times New Roman" w:cs="Times New Roman"/>
          <w:sz w:val="24"/>
          <w:szCs w:val="24"/>
        </w:rPr>
        <w:t xml:space="preserve"> azonosítást éves gyakorisággal el kell végezni, annak dokumentált eredményét az MNB  ajánlásban előírtak szerint 5 évig meg kell őrizni. A dokumentációt az MNB ajánlás</w:t>
      </w:r>
      <w:r w:rsidR="00715975" w:rsidRPr="0028364C">
        <w:rPr>
          <w:rFonts w:ascii="Times New Roman" w:hAnsi="Times New Roman" w:cs="Times New Roman"/>
          <w:sz w:val="24"/>
          <w:szCs w:val="24"/>
        </w:rPr>
        <w:t>ban szereplő szempontok</w:t>
      </w:r>
      <w:r w:rsidRPr="0028364C">
        <w:rPr>
          <w:rFonts w:ascii="Times New Roman" w:hAnsi="Times New Roman" w:cs="Times New Roman"/>
          <w:sz w:val="24"/>
          <w:szCs w:val="24"/>
        </w:rPr>
        <w:t xml:space="preserve"> szerint kell elkészíteni.</w:t>
      </w:r>
      <w:r w:rsidR="00E760BF" w:rsidRPr="0028364C">
        <w:rPr>
          <w:rFonts w:ascii="Times New Roman" w:hAnsi="Times New Roman" w:cs="Times New Roman"/>
          <w:sz w:val="24"/>
          <w:szCs w:val="24"/>
        </w:rPr>
        <w:t xml:space="preserve"> Az azonosítást </w:t>
      </w:r>
      <w:r w:rsidR="00962BD8">
        <w:rPr>
          <w:rFonts w:ascii="Times New Roman" w:hAnsi="Times New Roman" w:cs="Times New Roman"/>
          <w:sz w:val="24"/>
          <w:szCs w:val="24"/>
        </w:rPr>
        <w:t>évenként egyszer</w:t>
      </w:r>
      <w:r w:rsidR="00E760BF" w:rsidRPr="0028364C">
        <w:rPr>
          <w:rFonts w:ascii="Times New Roman" w:hAnsi="Times New Roman" w:cs="Times New Roman"/>
          <w:sz w:val="24"/>
          <w:szCs w:val="24"/>
        </w:rPr>
        <w:t xml:space="preserve"> kell elvégezni, továbbá személyi változás esetén a változáskor is el kell készíteni az azonosítást.</w:t>
      </w:r>
      <w:r w:rsidR="00E756A2" w:rsidRPr="0028364C">
        <w:rPr>
          <w:rFonts w:ascii="Times New Roman" w:hAnsi="Times New Roman" w:cs="Times New Roman"/>
          <w:sz w:val="24"/>
          <w:szCs w:val="24"/>
        </w:rPr>
        <w:t xml:space="preserve"> Az azonosított személyekről a javadalmazás</w:t>
      </w:r>
      <w:r w:rsidR="00962BD8">
        <w:rPr>
          <w:rFonts w:ascii="Times New Roman" w:hAnsi="Times New Roman" w:cs="Times New Roman"/>
          <w:sz w:val="24"/>
          <w:szCs w:val="24"/>
        </w:rPr>
        <w:t xml:space="preserve">i politika éves felülvizsgálata során </w:t>
      </w:r>
      <w:r w:rsidR="00E756A2" w:rsidRPr="0028364C">
        <w:rPr>
          <w:rFonts w:ascii="Times New Roman" w:hAnsi="Times New Roman" w:cs="Times New Roman"/>
          <w:sz w:val="24"/>
          <w:szCs w:val="24"/>
        </w:rPr>
        <w:t xml:space="preserve"> dönt a Bank Felügyelő Bizottsága. A döntés a következő évi rendes </w:t>
      </w:r>
      <w:r w:rsidR="00962BD8">
        <w:rPr>
          <w:rFonts w:ascii="Times New Roman" w:hAnsi="Times New Roman" w:cs="Times New Roman"/>
          <w:sz w:val="24"/>
          <w:szCs w:val="24"/>
        </w:rPr>
        <w:t>felülvizsgálatig a</w:t>
      </w:r>
      <w:r w:rsidR="00E756A2" w:rsidRPr="0028364C">
        <w:rPr>
          <w:rFonts w:ascii="Times New Roman" w:hAnsi="Times New Roman" w:cs="Times New Roman"/>
          <w:sz w:val="24"/>
          <w:szCs w:val="24"/>
        </w:rPr>
        <w:t xml:space="preserve"> Felügyelő Bizottsági ülés</w:t>
      </w:r>
      <w:r w:rsidR="00962BD8">
        <w:rPr>
          <w:rFonts w:ascii="Times New Roman" w:hAnsi="Times New Roman" w:cs="Times New Roman"/>
          <w:sz w:val="24"/>
          <w:szCs w:val="24"/>
        </w:rPr>
        <w:t>é</w:t>
      </w:r>
      <w:r w:rsidR="00E756A2" w:rsidRPr="0028364C">
        <w:rPr>
          <w:rFonts w:ascii="Times New Roman" w:hAnsi="Times New Roman" w:cs="Times New Roman"/>
          <w:sz w:val="24"/>
          <w:szCs w:val="24"/>
        </w:rPr>
        <w:t xml:space="preserve">ig marad </w:t>
      </w:r>
      <w:r w:rsidR="006855D9">
        <w:rPr>
          <w:rFonts w:ascii="Times New Roman" w:hAnsi="Times New Roman" w:cs="Times New Roman"/>
          <w:sz w:val="24"/>
          <w:szCs w:val="24"/>
        </w:rPr>
        <w:t>hatályban</w:t>
      </w:r>
      <w:r w:rsidR="00E756A2" w:rsidRPr="0028364C">
        <w:rPr>
          <w:rFonts w:ascii="Times New Roman" w:hAnsi="Times New Roman" w:cs="Times New Roman"/>
          <w:sz w:val="24"/>
          <w:szCs w:val="24"/>
        </w:rPr>
        <w:t>. Évközi személyi változás esetén a Felügyelő Bizottság soron kívül dönt az azonosítás kérdésében.</w:t>
      </w:r>
    </w:p>
    <w:p w14:paraId="6BA491F3" w14:textId="07B8718D" w:rsidR="008D6A8A" w:rsidRPr="0028364C" w:rsidRDefault="008D6A8A" w:rsidP="009019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</w:t>
      </w:r>
      <w:r w:rsidR="00925327" w:rsidRPr="0028364C">
        <w:rPr>
          <w:rFonts w:ascii="Times New Roman" w:hAnsi="Times New Roman" w:cs="Times New Roman"/>
          <w:sz w:val="24"/>
          <w:szCs w:val="24"/>
        </w:rPr>
        <w:t>bban az esetben</w:t>
      </w:r>
      <w:r w:rsidR="00212B4E" w:rsidRPr="0028364C">
        <w:rPr>
          <w:rFonts w:ascii="Times New Roman" w:hAnsi="Times New Roman" w:cs="Times New Roman"/>
          <w:sz w:val="24"/>
          <w:szCs w:val="24"/>
        </w:rPr>
        <w:t>,</w:t>
      </w:r>
      <w:r w:rsidR="00925327" w:rsidRPr="0028364C">
        <w:rPr>
          <w:rFonts w:ascii="Times New Roman" w:hAnsi="Times New Roman" w:cs="Times New Roman"/>
          <w:sz w:val="24"/>
          <w:szCs w:val="24"/>
        </w:rPr>
        <w:t xml:space="preserve"> ha a</w:t>
      </w:r>
      <w:r w:rsidR="00E33CCC" w:rsidRPr="0028364C">
        <w:rPr>
          <w:rFonts w:ascii="Times New Roman" w:hAnsi="Times New Roman" w:cs="Times New Roman"/>
          <w:sz w:val="24"/>
          <w:szCs w:val="24"/>
        </w:rPr>
        <w:t>z azonosított</w:t>
      </w:r>
      <w:r w:rsidRPr="0028364C">
        <w:rPr>
          <w:rFonts w:ascii="Times New Roman" w:hAnsi="Times New Roman" w:cs="Times New Roman"/>
          <w:sz w:val="24"/>
          <w:szCs w:val="24"/>
        </w:rPr>
        <w:t xml:space="preserve"> személy</w:t>
      </w:r>
      <w:r w:rsidR="00925327" w:rsidRPr="0028364C">
        <w:rPr>
          <w:rFonts w:ascii="Times New Roman" w:hAnsi="Times New Roman" w:cs="Times New Roman"/>
          <w:sz w:val="24"/>
          <w:szCs w:val="24"/>
        </w:rPr>
        <w:t>t</w:t>
      </w:r>
      <w:r w:rsidR="004A3CA6" w:rsidRPr="0028364C">
        <w:rPr>
          <w:rFonts w:ascii="Times New Roman" w:hAnsi="Times New Roman" w:cs="Times New Roman"/>
          <w:sz w:val="24"/>
          <w:szCs w:val="24"/>
        </w:rPr>
        <w:t xml:space="preserve"> három</w:t>
      </w:r>
      <w:r w:rsidRPr="0028364C">
        <w:rPr>
          <w:rFonts w:ascii="Times New Roman" w:hAnsi="Times New Roman" w:cs="Times New Roman"/>
          <w:sz w:val="24"/>
          <w:szCs w:val="24"/>
        </w:rPr>
        <w:t xml:space="preserve"> hónapot meghaladó</w:t>
      </w:r>
      <w:r w:rsidR="00925327" w:rsidRPr="0028364C">
        <w:rPr>
          <w:rFonts w:ascii="Times New Roman" w:hAnsi="Times New Roman" w:cs="Times New Roman"/>
          <w:sz w:val="24"/>
          <w:szCs w:val="24"/>
        </w:rPr>
        <w:t xml:space="preserve">an más munkavállaló helyettesíti, </w:t>
      </w:r>
      <w:r w:rsidRPr="0028364C">
        <w:rPr>
          <w:rFonts w:ascii="Times New Roman" w:hAnsi="Times New Roman" w:cs="Times New Roman"/>
          <w:sz w:val="24"/>
          <w:szCs w:val="24"/>
        </w:rPr>
        <w:t>vizsgálni kell, hogy a helyettesítő s</w:t>
      </w:r>
      <w:r w:rsidR="00FE51F7">
        <w:rPr>
          <w:rFonts w:ascii="Times New Roman" w:hAnsi="Times New Roman" w:cs="Times New Roman"/>
          <w:sz w:val="24"/>
          <w:szCs w:val="24"/>
        </w:rPr>
        <w:t>ze</w:t>
      </w:r>
      <w:r w:rsidRPr="0028364C">
        <w:rPr>
          <w:rFonts w:ascii="Times New Roman" w:hAnsi="Times New Roman" w:cs="Times New Roman"/>
          <w:sz w:val="24"/>
          <w:szCs w:val="24"/>
        </w:rPr>
        <w:t>mély</w:t>
      </w:r>
      <w:r w:rsidR="00FE51F7">
        <w:rPr>
          <w:rFonts w:ascii="Times New Roman" w:hAnsi="Times New Roman" w:cs="Times New Roman"/>
          <w:sz w:val="24"/>
          <w:szCs w:val="24"/>
        </w:rPr>
        <w:t>re</w:t>
      </w:r>
      <w:r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FE51F7">
        <w:rPr>
          <w:rFonts w:ascii="Times New Roman" w:hAnsi="Times New Roman" w:cs="Times New Roman"/>
          <w:sz w:val="24"/>
          <w:szCs w:val="24"/>
        </w:rPr>
        <w:t>érvényesek-e, vagy érvényesek lehetnek-e</w:t>
      </w:r>
      <w:r w:rsidR="00FE51F7" w:rsidRPr="00FE51F7">
        <w:rPr>
          <w:rFonts w:ascii="Arial" w:hAnsi="Arial" w:cs="Arial"/>
          <w:sz w:val="30"/>
          <w:szCs w:val="30"/>
        </w:rPr>
        <w:t xml:space="preserve"> </w:t>
      </w:r>
      <w:r w:rsidR="00FE51F7" w:rsidRPr="00E92F8A">
        <w:rPr>
          <w:rStyle w:val="markedcontent"/>
          <w:rFonts w:ascii="Times New Roman" w:hAnsi="Times New Roman" w:cs="Times New Roman"/>
          <w:sz w:val="24"/>
          <w:szCs w:val="24"/>
        </w:rPr>
        <w:t>az EU 2021/923 rendelet 5. cikkében meghatározott</w:t>
      </w:r>
      <w:r w:rsidR="00FE51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E51F7" w:rsidRPr="00E92F8A">
        <w:rPr>
          <w:rStyle w:val="markedcontent"/>
          <w:rFonts w:ascii="Times New Roman" w:hAnsi="Times New Roman" w:cs="Times New Roman"/>
          <w:sz w:val="24"/>
          <w:szCs w:val="24"/>
        </w:rPr>
        <w:t>kritériumok</w:t>
      </w:r>
      <w:r w:rsidRPr="0028364C">
        <w:rPr>
          <w:rFonts w:ascii="Times New Roman" w:hAnsi="Times New Roman" w:cs="Times New Roman"/>
          <w:sz w:val="24"/>
          <w:szCs w:val="24"/>
        </w:rPr>
        <w:t xml:space="preserve"> Amennyiben </w:t>
      </w:r>
      <w:r w:rsidR="004A3CA6" w:rsidRPr="0028364C">
        <w:rPr>
          <w:rFonts w:ascii="Times New Roman" w:hAnsi="Times New Roman" w:cs="Times New Roman"/>
          <w:sz w:val="24"/>
          <w:szCs w:val="24"/>
        </w:rPr>
        <w:t xml:space="preserve"> legalább három</w:t>
      </w:r>
      <w:r w:rsidR="00E33CCC" w:rsidRPr="0028364C">
        <w:rPr>
          <w:rFonts w:ascii="Times New Roman" w:hAnsi="Times New Roman" w:cs="Times New Roman"/>
          <w:sz w:val="24"/>
          <w:szCs w:val="24"/>
        </w:rPr>
        <w:t xml:space="preserve"> hónapig</w:t>
      </w:r>
      <w:r w:rsidR="00BB53DA">
        <w:rPr>
          <w:rFonts w:ascii="Times New Roman" w:hAnsi="Times New Roman" w:cs="Times New Roman"/>
          <w:sz w:val="24"/>
          <w:szCs w:val="24"/>
        </w:rPr>
        <w:t xml:space="preserve"> igen,</w:t>
      </w:r>
      <w:r w:rsidR="00E33CCC" w:rsidRPr="0028364C">
        <w:rPr>
          <w:rFonts w:ascii="Times New Roman" w:hAnsi="Times New Roman" w:cs="Times New Roman"/>
          <w:sz w:val="24"/>
          <w:szCs w:val="24"/>
        </w:rPr>
        <w:t xml:space="preserve"> azonosított</w:t>
      </w:r>
      <w:r w:rsidRPr="0028364C">
        <w:rPr>
          <w:rFonts w:ascii="Times New Roman" w:hAnsi="Times New Roman" w:cs="Times New Roman"/>
          <w:sz w:val="24"/>
          <w:szCs w:val="24"/>
        </w:rPr>
        <w:t xml:space="preserve"> személlyé kell nyilvánítani. </w:t>
      </w:r>
    </w:p>
    <w:p w14:paraId="1593D4B2" w14:textId="483B0103" w:rsidR="00F91114" w:rsidRDefault="00E33CCC" w:rsidP="005A75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Az </w:t>
      </w:r>
      <w:r w:rsidR="000A13DD" w:rsidRPr="0028364C">
        <w:rPr>
          <w:rFonts w:ascii="Times New Roman" w:hAnsi="Times New Roman" w:cs="Times New Roman"/>
          <w:sz w:val="24"/>
          <w:szCs w:val="24"/>
        </w:rPr>
        <w:t xml:space="preserve"> azonosítás során</w:t>
      </w:r>
      <w:r w:rsidR="008D6A8A" w:rsidRPr="0028364C">
        <w:rPr>
          <w:rFonts w:ascii="Times New Roman" w:hAnsi="Times New Roman" w:cs="Times New Roman"/>
          <w:sz w:val="24"/>
          <w:szCs w:val="24"/>
        </w:rPr>
        <w:t xml:space="preserve"> ké</w:t>
      </w:r>
      <w:r w:rsidR="000A13DD" w:rsidRPr="0028364C">
        <w:rPr>
          <w:rFonts w:ascii="Times New Roman" w:hAnsi="Times New Roman" w:cs="Times New Roman"/>
          <w:sz w:val="24"/>
          <w:szCs w:val="24"/>
        </w:rPr>
        <w:t>szíte</w:t>
      </w:r>
      <w:r w:rsidR="002C770B">
        <w:rPr>
          <w:rFonts w:ascii="Times New Roman" w:hAnsi="Times New Roman" w:cs="Times New Roman"/>
          <w:sz w:val="24"/>
          <w:szCs w:val="24"/>
        </w:rPr>
        <w:t>ndő</w:t>
      </w:r>
      <w:r w:rsidR="000A13DD" w:rsidRPr="0028364C">
        <w:rPr>
          <w:rFonts w:ascii="Times New Roman" w:hAnsi="Times New Roman" w:cs="Times New Roman"/>
          <w:sz w:val="24"/>
          <w:szCs w:val="24"/>
        </w:rPr>
        <w:t xml:space="preserve"> dokumentációs lapot </w:t>
      </w:r>
      <w:r w:rsidR="000A13DD" w:rsidRPr="0040168E">
        <w:rPr>
          <w:rFonts w:ascii="Times New Roman" w:hAnsi="Times New Roman" w:cs="Times New Roman"/>
          <w:sz w:val="24"/>
          <w:szCs w:val="24"/>
        </w:rPr>
        <w:t xml:space="preserve">az </w:t>
      </w:r>
      <w:r w:rsidR="00764575" w:rsidRPr="0040168E">
        <w:rPr>
          <w:rFonts w:ascii="Times New Roman" w:hAnsi="Times New Roman" w:cs="Times New Roman"/>
          <w:b/>
          <w:sz w:val="24"/>
          <w:szCs w:val="24"/>
        </w:rPr>
        <w:t>1</w:t>
      </w:r>
      <w:r w:rsidR="008D6A8A" w:rsidRPr="0040168E">
        <w:rPr>
          <w:rFonts w:ascii="Times New Roman" w:hAnsi="Times New Roman" w:cs="Times New Roman"/>
          <w:b/>
          <w:sz w:val="24"/>
          <w:szCs w:val="24"/>
        </w:rPr>
        <w:t>. sz.</w:t>
      </w:r>
      <w:r w:rsidR="008D6A8A" w:rsidRPr="0028364C">
        <w:rPr>
          <w:rFonts w:ascii="Times New Roman" w:hAnsi="Times New Roman" w:cs="Times New Roman"/>
          <w:b/>
          <w:sz w:val="24"/>
          <w:szCs w:val="24"/>
        </w:rPr>
        <w:t xml:space="preserve"> melléklet</w:t>
      </w:r>
      <w:r w:rsidR="008D6A8A" w:rsidRPr="0028364C">
        <w:rPr>
          <w:rFonts w:ascii="Times New Roman" w:hAnsi="Times New Roman" w:cs="Times New Roman"/>
          <w:sz w:val="24"/>
          <w:szCs w:val="24"/>
        </w:rPr>
        <w:t xml:space="preserve"> tartalmazza.</w:t>
      </w:r>
      <w:r w:rsidR="004304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A41B5" w14:textId="77777777" w:rsidR="00421906" w:rsidRPr="00007D9B" w:rsidRDefault="00BD253E" w:rsidP="00421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javadalmazási politika nemek szempontjából semleges javadalmazási politika</w:t>
      </w:r>
      <w:r w:rsidR="00421906">
        <w:rPr>
          <w:rFonts w:ascii="Times New Roman" w:hAnsi="Times New Roman" w:cs="Times New Roman"/>
          <w:sz w:val="24"/>
          <w:szCs w:val="24"/>
        </w:rPr>
        <w:t xml:space="preserve">, azaz a </w:t>
      </w:r>
      <w:r w:rsidR="00421906" w:rsidRPr="00421906">
        <w:rPr>
          <w:rFonts w:ascii="Times New Roman" w:hAnsi="Times New Roman" w:cs="Times New Roman"/>
          <w:sz w:val="24"/>
          <w:szCs w:val="24"/>
        </w:rPr>
        <w:t>munkatársak egyenlő munkáért vagy egyenlő értékű munkáért egyenlő díjazásban részesülnek</w:t>
      </w:r>
      <w:r w:rsidR="00421906" w:rsidRPr="001B65F0">
        <w:rPr>
          <w:rFonts w:ascii="Times New Roman" w:hAnsi="Times New Roman" w:cs="Times New Roman"/>
          <w:sz w:val="24"/>
          <w:szCs w:val="24"/>
        </w:rPr>
        <w:t>.</w:t>
      </w:r>
    </w:p>
    <w:p w14:paraId="2C37A79A" w14:textId="15929BFC" w:rsidR="00421906" w:rsidRPr="00E92F8A" w:rsidRDefault="00421906" w:rsidP="00421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8A">
        <w:rPr>
          <w:rFonts w:ascii="Times New Roman" w:hAnsi="Times New Roman" w:cs="Times New Roman"/>
          <w:sz w:val="24"/>
          <w:szCs w:val="24"/>
        </w:rPr>
        <w:t>A nemi szempontból semleges javadalmazási politika alkalmazásának nyomon követése érdekében a Bank dokumentálja a pozíció értékét munkavállalói munkakör kategóriákhoz rendelt bérkategóriák meghatározásával, és meghatározza, hogy mely pozíciók minősülnek azonos értékkel bírónak. A Bank figyelembe veszi a pozícióhoz vagy a munkavállalóhoz rendelt tevékenységek, feladatok és kötelességek típusát. A bank a fizetés megállapítása céljából munkakör-besorolási rendszert alkalmaz, elvárás, hogy az a nemek tekintetében azonos kritériumokon alapuljon, és hogy az úgy kerüljön kialakításra, hogy kizárjon mindenfajta megkülönböztetést, többek között a nemen alapuló megkülönböztetést is.</w:t>
      </w:r>
    </w:p>
    <w:p w14:paraId="6E259988" w14:textId="1C587984" w:rsidR="00421906" w:rsidRPr="00E92F8A" w:rsidRDefault="00421906" w:rsidP="00421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8A">
        <w:rPr>
          <w:rFonts w:ascii="Times New Roman" w:hAnsi="Times New Roman" w:cs="Times New Roman"/>
          <w:sz w:val="24"/>
          <w:szCs w:val="24"/>
        </w:rPr>
        <w:t>A Bank a személyzet javadalmazásának meghatározásakor nemi szempontból semleges módon további szempontokat is figyelembe vehet. Ilyen szempontok lehetnek többek között a következők:</w:t>
      </w:r>
    </w:p>
    <w:p w14:paraId="337FE766" w14:textId="77777777" w:rsidR="00421906" w:rsidRPr="00E92F8A" w:rsidRDefault="00421906" w:rsidP="00421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8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92F8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92F8A">
        <w:rPr>
          <w:rFonts w:ascii="Times New Roman" w:hAnsi="Times New Roman" w:cs="Times New Roman"/>
          <w:sz w:val="24"/>
          <w:szCs w:val="24"/>
        </w:rPr>
        <w:t xml:space="preserve"> végzettségre vonatkozó követelmények, szakmai és képzési követelmények, készségek, erőfeszítés és felelősség, elvégzett munka és az érintett feladatok jellege6;</w:t>
      </w:r>
    </w:p>
    <w:p w14:paraId="4CDD0A99" w14:textId="77777777" w:rsidR="00421906" w:rsidRPr="00E92F8A" w:rsidRDefault="00421906" w:rsidP="00421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8A">
        <w:rPr>
          <w:rFonts w:ascii="Times New Roman" w:hAnsi="Times New Roman" w:cs="Times New Roman"/>
          <w:sz w:val="24"/>
          <w:szCs w:val="24"/>
        </w:rPr>
        <w:t>b) a foglalkoztatás helye és a helyre jellemző megélhetési költségek;</w:t>
      </w:r>
    </w:p>
    <w:p w14:paraId="56EC618D" w14:textId="77777777" w:rsidR="00421906" w:rsidRPr="00E92F8A" w:rsidRDefault="00421906" w:rsidP="00421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8A">
        <w:rPr>
          <w:rFonts w:ascii="Times New Roman" w:hAnsi="Times New Roman" w:cs="Times New Roman"/>
          <w:sz w:val="24"/>
          <w:szCs w:val="24"/>
        </w:rPr>
        <w:t>c) a vezető állású személy vagy munkavállaló által a hierarchiában elfoglalt szint, valamint az, hogy vezetői feladatokat lát-e el;</w:t>
      </w:r>
    </w:p>
    <w:p w14:paraId="4567537C" w14:textId="77777777" w:rsidR="00421906" w:rsidRPr="00E92F8A" w:rsidRDefault="00421906" w:rsidP="00421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8A">
        <w:rPr>
          <w:rFonts w:ascii="Times New Roman" w:hAnsi="Times New Roman" w:cs="Times New Roman"/>
          <w:sz w:val="24"/>
          <w:szCs w:val="24"/>
        </w:rPr>
        <w:t>d) a vezető állású személy vagy munkavállaló iskolai végzettsége;</w:t>
      </w:r>
    </w:p>
    <w:p w14:paraId="27FAA027" w14:textId="77777777" w:rsidR="00421906" w:rsidRPr="00E92F8A" w:rsidRDefault="00421906" w:rsidP="00421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8A">
        <w:rPr>
          <w:rFonts w:ascii="Times New Roman" w:hAnsi="Times New Roman" w:cs="Times New Roman"/>
          <w:sz w:val="24"/>
          <w:szCs w:val="24"/>
        </w:rPr>
        <w:lastRenderedPageBreak/>
        <w:t>e) a munkaerőpiacon az egyes pozíciók betöltésére rendelkezésre álló munkavállalók elérhetősége;</w:t>
      </w:r>
    </w:p>
    <w:p w14:paraId="54DEC56B" w14:textId="77777777" w:rsidR="00421906" w:rsidRPr="00E92F8A" w:rsidRDefault="00421906" w:rsidP="00421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8A">
        <w:rPr>
          <w:rFonts w:ascii="Times New Roman" w:hAnsi="Times New Roman" w:cs="Times New Roman"/>
          <w:sz w:val="24"/>
          <w:szCs w:val="24"/>
        </w:rPr>
        <w:t>f) a munkaszerződés jellege, beleértve, hogy határozott idejű vagy határozatlan időre szóló szerződésről van-e szó;</w:t>
      </w:r>
    </w:p>
    <w:p w14:paraId="01487E21" w14:textId="77777777" w:rsidR="00421906" w:rsidRPr="00E92F8A" w:rsidRDefault="00421906" w:rsidP="00421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8A">
        <w:rPr>
          <w:rFonts w:ascii="Times New Roman" w:hAnsi="Times New Roman" w:cs="Times New Roman"/>
          <w:sz w:val="24"/>
          <w:szCs w:val="24"/>
        </w:rPr>
        <w:t>g) a vezető állású személy vagy munkavállaló szakmai tapasztalata;</w:t>
      </w:r>
    </w:p>
    <w:p w14:paraId="551B6CD0" w14:textId="77777777" w:rsidR="00421906" w:rsidRPr="00E92F8A" w:rsidRDefault="00421906" w:rsidP="00421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8A">
        <w:rPr>
          <w:rFonts w:ascii="Times New Roman" w:hAnsi="Times New Roman" w:cs="Times New Roman"/>
          <w:sz w:val="24"/>
          <w:szCs w:val="24"/>
        </w:rPr>
        <w:t>h) a vezető állású személy vagy munkavállaló szakmai képesítései;</w:t>
      </w:r>
    </w:p>
    <w:p w14:paraId="182A4394" w14:textId="77777777" w:rsidR="00421906" w:rsidRPr="00AB1A96" w:rsidRDefault="00421906" w:rsidP="00421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8A">
        <w:rPr>
          <w:rFonts w:ascii="Times New Roman" w:hAnsi="Times New Roman" w:cs="Times New Roman"/>
          <w:sz w:val="24"/>
          <w:szCs w:val="24"/>
        </w:rPr>
        <w:t>i) egyéb juttatások, többek között további/kiegészítő támogatások és ellátások fizetése a házastárssal, bejegyzett élettárssal vagy eltartott családtagokkal rendelkező munkavállalók számára.</w:t>
      </w:r>
    </w:p>
    <w:p w14:paraId="635366FC" w14:textId="77777777" w:rsidR="007871DF" w:rsidRPr="0028364C" w:rsidRDefault="00323A14" w:rsidP="009019E6">
      <w:pPr>
        <w:rPr>
          <w:rFonts w:ascii="Times New Roman" w:hAnsi="Times New Roman" w:cs="Times New Roman"/>
          <w:b/>
          <w:sz w:val="24"/>
          <w:szCs w:val="24"/>
        </w:rPr>
      </w:pPr>
      <w:r w:rsidRPr="0028364C">
        <w:rPr>
          <w:rFonts w:ascii="Times New Roman" w:hAnsi="Times New Roman" w:cs="Times New Roman"/>
          <w:b/>
          <w:sz w:val="24"/>
          <w:szCs w:val="24"/>
        </w:rPr>
        <w:t>5.2</w:t>
      </w:r>
      <w:r w:rsidR="008D6A8A" w:rsidRPr="002836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71DF" w:rsidRPr="0028364C">
        <w:rPr>
          <w:rFonts w:ascii="Times New Roman" w:hAnsi="Times New Roman" w:cs="Times New Roman"/>
          <w:b/>
          <w:sz w:val="24"/>
          <w:szCs w:val="24"/>
        </w:rPr>
        <w:t>Időbeli hatály</w:t>
      </w:r>
    </w:p>
    <w:p w14:paraId="5CF889BD" w14:textId="30055AAD" w:rsidR="00B97E1E" w:rsidRPr="00AA5138" w:rsidRDefault="008D6A8A" w:rsidP="009019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Javadal</w:t>
      </w:r>
      <w:r w:rsidR="005A7EB1" w:rsidRPr="0028364C">
        <w:rPr>
          <w:rFonts w:ascii="Times New Roman" w:hAnsi="Times New Roman" w:cs="Times New Roman"/>
          <w:sz w:val="24"/>
          <w:szCs w:val="24"/>
        </w:rPr>
        <w:t xml:space="preserve">mazási Politika határozatlan időre szól, </w:t>
      </w:r>
      <w:r w:rsidRPr="0028364C">
        <w:rPr>
          <w:rFonts w:ascii="Times New Roman" w:hAnsi="Times New Roman" w:cs="Times New Roman"/>
          <w:sz w:val="24"/>
          <w:szCs w:val="24"/>
        </w:rPr>
        <w:t xml:space="preserve">szabályai évente </w:t>
      </w:r>
      <w:r w:rsidR="005A7EB1" w:rsidRPr="0028364C">
        <w:rPr>
          <w:rFonts w:ascii="Times New Roman" w:hAnsi="Times New Roman" w:cs="Times New Roman"/>
          <w:sz w:val="24"/>
          <w:szCs w:val="24"/>
        </w:rPr>
        <w:t xml:space="preserve">kötelezően </w:t>
      </w:r>
      <w:r w:rsidRPr="0028364C">
        <w:rPr>
          <w:rFonts w:ascii="Times New Roman" w:hAnsi="Times New Roman" w:cs="Times New Roman"/>
          <w:sz w:val="24"/>
          <w:szCs w:val="24"/>
        </w:rPr>
        <w:t xml:space="preserve">felülvizsgálatra </w:t>
      </w:r>
      <w:r w:rsidRPr="00AA5138">
        <w:rPr>
          <w:rFonts w:ascii="Times New Roman" w:hAnsi="Times New Roman" w:cs="Times New Roman"/>
          <w:sz w:val="24"/>
          <w:szCs w:val="24"/>
        </w:rPr>
        <w:t xml:space="preserve">kerülnek. </w:t>
      </w:r>
    </w:p>
    <w:p w14:paraId="2C8C78FC" w14:textId="77777777" w:rsidR="007871DF" w:rsidRPr="00AA5138" w:rsidRDefault="00736643" w:rsidP="009019E6">
      <w:pPr>
        <w:pStyle w:val="Listaszerbekezds"/>
        <w:numPr>
          <w:ilvl w:val="0"/>
          <w:numId w:val="1"/>
        </w:numPr>
        <w:ind w:left="284" w:hanging="284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109047092"/>
      <w:r w:rsidRPr="00AA5138">
        <w:rPr>
          <w:rFonts w:ascii="Times New Roman" w:hAnsi="Times New Roman" w:cs="Times New Roman"/>
          <w:b/>
          <w:sz w:val="28"/>
          <w:szCs w:val="28"/>
        </w:rPr>
        <w:t>A javadal</w:t>
      </w:r>
      <w:r w:rsidR="00424D1A" w:rsidRPr="00AA5138">
        <w:rPr>
          <w:rFonts w:ascii="Times New Roman" w:hAnsi="Times New Roman" w:cs="Times New Roman"/>
          <w:b/>
          <w:sz w:val="28"/>
          <w:szCs w:val="28"/>
        </w:rPr>
        <w:t>m</w:t>
      </w:r>
      <w:r w:rsidRPr="00AA5138">
        <w:rPr>
          <w:rFonts w:ascii="Times New Roman" w:hAnsi="Times New Roman" w:cs="Times New Roman"/>
          <w:b/>
          <w:sz w:val="28"/>
          <w:szCs w:val="28"/>
        </w:rPr>
        <w:t>a</w:t>
      </w:r>
      <w:r w:rsidR="00424D1A" w:rsidRPr="00AA5138">
        <w:rPr>
          <w:rFonts w:ascii="Times New Roman" w:hAnsi="Times New Roman" w:cs="Times New Roman"/>
          <w:b/>
          <w:sz w:val="28"/>
          <w:szCs w:val="28"/>
        </w:rPr>
        <w:t>zás típusai</w:t>
      </w:r>
      <w:bookmarkEnd w:id="5"/>
    </w:p>
    <w:p w14:paraId="240A3803" w14:textId="77777777" w:rsidR="008D6A8A" w:rsidRPr="0028364C" w:rsidRDefault="008D6A8A" w:rsidP="008D6A8A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</w:p>
    <w:p w14:paraId="3713841C" w14:textId="4457C0BA" w:rsidR="00AD538B" w:rsidRPr="0028364C" w:rsidRDefault="00AD538B" w:rsidP="00E92F8A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Javadalmazási Politika hatálya alá tartozó személyi kör tekintetében </w:t>
      </w:r>
      <w:r w:rsidR="00843158" w:rsidRPr="0028364C">
        <w:rPr>
          <w:rFonts w:ascii="Times New Roman" w:hAnsi="Times New Roman" w:cs="Times New Roman"/>
          <w:sz w:val="24"/>
          <w:szCs w:val="24"/>
        </w:rPr>
        <w:t>a javadalmazás csak alapjavadal</w:t>
      </w:r>
      <w:r w:rsidRPr="0028364C">
        <w:rPr>
          <w:rFonts w:ascii="Times New Roman" w:hAnsi="Times New Roman" w:cs="Times New Roman"/>
          <w:sz w:val="24"/>
          <w:szCs w:val="24"/>
        </w:rPr>
        <w:t>m</w:t>
      </w:r>
      <w:r w:rsidR="00843158" w:rsidRPr="0028364C">
        <w:rPr>
          <w:rFonts w:ascii="Times New Roman" w:hAnsi="Times New Roman" w:cs="Times New Roman"/>
          <w:sz w:val="24"/>
          <w:szCs w:val="24"/>
        </w:rPr>
        <w:t>a</w:t>
      </w:r>
      <w:r w:rsidRPr="0028364C">
        <w:rPr>
          <w:rFonts w:ascii="Times New Roman" w:hAnsi="Times New Roman" w:cs="Times New Roman"/>
          <w:sz w:val="24"/>
          <w:szCs w:val="24"/>
        </w:rPr>
        <w:t xml:space="preserve">zás vagy teljesítményjavadalmazás lehet, a javadalmazásnak </w:t>
      </w:r>
      <w:r w:rsidR="00F051D7" w:rsidRPr="0028364C">
        <w:rPr>
          <w:rFonts w:ascii="Times New Roman" w:hAnsi="Times New Roman" w:cs="Times New Roman"/>
          <w:sz w:val="24"/>
          <w:szCs w:val="24"/>
        </w:rPr>
        <w:t>nincs har</w:t>
      </w:r>
      <w:r w:rsidR="00736643" w:rsidRPr="0028364C">
        <w:rPr>
          <w:rFonts w:ascii="Times New Roman" w:hAnsi="Times New Roman" w:cs="Times New Roman"/>
          <w:sz w:val="24"/>
          <w:szCs w:val="24"/>
        </w:rPr>
        <w:t xml:space="preserve">madik kategóriája, azáltal a </w:t>
      </w:r>
      <w:r w:rsidR="00F371CD">
        <w:rPr>
          <w:rFonts w:ascii="Times New Roman" w:hAnsi="Times New Roman" w:cs="Times New Roman"/>
          <w:sz w:val="24"/>
          <w:szCs w:val="24"/>
        </w:rPr>
        <w:t>Bank</w:t>
      </w:r>
      <w:r w:rsidR="00F371CD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hAnsi="Times New Roman" w:cs="Times New Roman"/>
          <w:sz w:val="24"/>
          <w:szCs w:val="24"/>
        </w:rPr>
        <w:t>esetén a javadalmazás minden elemét alap- vagy teljesítményjava</w:t>
      </w:r>
      <w:r w:rsidR="00F051D7" w:rsidRPr="0028364C">
        <w:rPr>
          <w:rFonts w:ascii="Times New Roman" w:hAnsi="Times New Roman" w:cs="Times New Roman"/>
          <w:sz w:val="24"/>
          <w:szCs w:val="24"/>
        </w:rPr>
        <w:t>dalmazáshoz kell besorolni</w:t>
      </w:r>
      <w:r w:rsidRPr="0028364C">
        <w:rPr>
          <w:rFonts w:ascii="Times New Roman" w:hAnsi="Times New Roman" w:cs="Times New Roman"/>
          <w:sz w:val="24"/>
          <w:szCs w:val="24"/>
        </w:rPr>
        <w:t>.</w:t>
      </w:r>
    </w:p>
    <w:p w14:paraId="3271D7FF" w14:textId="0397F408" w:rsidR="00794ED2" w:rsidRPr="00524585" w:rsidRDefault="003A047B" w:rsidP="00E92F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64C">
        <w:rPr>
          <w:rFonts w:ascii="Times New Roman" w:hAnsi="Times New Roman" w:cs="Times New Roman"/>
          <w:b/>
          <w:sz w:val="24"/>
          <w:szCs w:val="24"/>
        </w:rPr>
        <w:t xml:space="preserve">A munkavégzéstől független javadalmazási elemeket a Duna Takarék Bank </w:t>
      </w:r>
      <w:proofErr w:type="spellStart"/>
      <w:r w:rsidRPr="0028364C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2836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06B4" w:rsidRPr="0028364C">
        <w:rPr>
          <w:rFonts w:ascii="Times New Roman" w:hAnsi="Times New Roman" w:cs="Times New Roman"/>
          <w:b/>
          <w:sz w:val="24"/>
          <w:szCs w:val="24"/>
        </w:rPr>
        <w:t>Humánerőforrás gazdálkodásra vonatkozó szabályzata tartalmazza.</w:t>
      </w:r>
    </w:p>
    <w:p w14:paraId="1C1D95A2" w14:textId="77777777" w:rsidR="009019E6" w:rsidRPr="0028364C" w:rsidRDefault="00AD538B" w:rsidP="009019E6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28364C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424D1A" w:rsidRPr="0028364C">
        <w:rPr>
          <w:rFonts w:ascii="Times New Roman" w:hAnsi="Times New Roman" w:cs="Times New Roman"/>
          <w:b/>
          <w:sz w:val="24"/>
          <w:szCs w:val="24"/>
        </w:rPr>
        <w:t>Alapjavadalmazási formái</w:t>
      </w:r>
    </w:p>
    <w:p w14:paraId="36022B71" w14:textId="77777777" w:rsidR="009019E6" w:rsidRPr="0028364C" w:rsidRDefault="009019E6" w:rsidP="009019E6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495264" w14:textId="77777777" w:rsidR="00AD538B" w:rsidRPr="0028364C" w:rsidRDefault="00AD538B" w:rsidP="009019E6">
      <w:pPr>
        <w:pStyle w:val="Listaszerbekezds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javadalmazás alapjavadalomnak minősül, ha</w:t>
      </w:r>
    </w:p>
    <w:p w14:paraId="73EA6C9D" w14:textId="77777777" w:rsidR="00AD538B" w:rsidRPr="0028364C" w:rsidRDefault="00AD538B" w:rsidP="00D4215F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előre meghatározott kritériumokon alapulnak; </w:t>
      </w:r>
    </w:p>
    <w:p w14:paraId="0355BC46" w14:textId="77777777" w:rsidR="00AD538B" w:rsidRPr="0028364C" w:rsidRDefault="00AD538B" w:rsidP="00D4215F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objektív módon tükrözik a szakmai tapasztalat szintjét, valamint a munkavállalók szolgálati idejét; </w:t>
      </w:r>
    </w:p>
    <w:p w14:paraId="0B247903" w14:textId="77777777" w:rsidR="00AD538B" w:rsidRPr="0028364C" w:rsidRDefault="00AD538B" w:rsidP="00D4215F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átláthatók az egyes munkavállalók részére megállapított egyéni összegek vonatkozásában; </w:t>
      </w:r>
    </w:p>
    <w:p w14:paraId="114328AE" w14:textId="77777777" w:rsidR="00AD538B" w:rsidRPr="0028364C" w:rsidRDefault="00AD538B" w:rsidP="00D4215F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állandóak, azaz fenntartják azokat a konkrét feladathoz és szervezeti felelősségi körökhöz rendelt időszak alatt; </w:t>
      </w:r>
    </w:p>
    <w:p w14:paraId="587C64B7" w14:textId="77777777" w:rsidR="00AD538B" w:rsidRPr="0028364C" w:rsidRDefault="00AD538B" w:rsidP="00D4215F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nem visszavonhatók; az állandó összeget csak kollektív bértárgyaláson keresztül, vagy újratárgyalást követően módosítják a bérmegállapításra vonatkozó hazai kritériumokkal összhangban; </w:t>
      </w:r>
    </w:p>
    <w:p w14:paraId="3730A197" w14:textId="77777777" w:rsidR="00AD538B" w:rsidRPr="0028364C" w:rsidRDefault="00AD538B" w:rsidP="00D4215F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az intézmény által nem csökkenthetők, függeszthetők fel vagy szüntethetők meg; </w:t>
      </w:r>
    </w:p>
    <w:p w14:paraId="5FB3E0EA" w14:textId="77777777" w:rsidR="00AD538B" w:rsidRPr="0028364C" w:rsidRDefault="00AD538B" w:rsidP="00D4215F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nem ösztönzik a kockázatvállalást; valamint </w:t>
      </w:r>
    </w:p>
    <w:p w14:paraId="12C860A7" w14:textId="77777777" w:rsidR="00AD538B" w:rsidRDefault="00D4215F" w:rsidP="00641DF2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nem függnek a teljesítménytől.</w:t>
      </w:r>
    </w:p>
    <w:p w14:paraId="12A031DC" w14:textId="77777777" w:rsidR="001B65F0" w:rsidRDefault="001B65F0" w:rsidP="00E92F8A">
      <w:pPr>
        <w:pStyle w:val="Listaszerbekezds"/>
        <w:spacing w:line="240" w:lineRule="auto"/>
        <w:ind w:left="1695"/>
        <w:jc w:val="both"/>
        <w:rPr>
          <w:rFonts w:ascii="Times New Roman" w:hAnsi="Times New Roman" w:cs="Times New Roman"/>
          <w:sz w:val="24"/>
          <w:szCs w:val="24"/>
        </w:rPr>
      </w:pPr>
    </w:p>
    <w:p w14:paraId="200900C9" w14:textId="77777777" w:rsidR="001B65F0" w:rsidRPr="00C94161" w:rsidRDefault="001B65F0" w:rsidP="001B6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Bank azon javadalmazási elemeket tekinti alapjavadalmazásnak, amelyek a Javadalmazási politika részét képezik és egyben megfelelnek a fenti kritériumoknak vagy olyan kifizetések, melyeket jogszabály tesz kötelezővé. </w:t>
      </w:r>
    </w:p>
    <w:p w14:paraId="49788AA8" w14:textId="77777777" w:rsidR="0040168E" w:rsidRDefault="0040168E" w:rsidP="009019E6">
      <w:pPr>
        <w:pStyle w:val="Cmsor3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6" w:name="_Toc462477609"/>
      <w:bookmarkStart w:id="7" w:name="_Toc482706594"/>
      <w:bookmarkStart w:id="8" w:name="_Toc107237244"/>
      <w:bookmarkStart w:id="9" w:name="_Toc109047093"/>
    </w:p>
    <w:p w14:paraId="306C1E3B" w14:textId="77777777" w:rsidR="0040168E" w:rsidRDefault="0040168E" w:rsidP="009019E6">
      <w:pPr>
        <w:pStyle w:val="Cmsor3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3ED0970C" w14:textId="77777777" w:rsidR="0040168E" w:rsidRDefault="0040168E" w:rsidP="009019E6">
      <w:pPr>
        <w:pStyle w:val="Cmsor3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33BEF5B" w14:textId="77777777" w:rsidR="0040168E" w:rsidRDefault="0040168E" w:rsidP="009019E6">
      <w:pPr>
        <w:pStyle w:val="Cmsor3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5D5A72BD" w14:textId="77777777" w:rsidR="0040168E" w:rsidRPr="0040168E" w:rsidRDefault="0040168E" w:rsidP="0040168E"/>
    <w:p w14:paraId="2C30B2DF" w14:textId="77777777" w:rsidR="0012387A" w:rsidRPr="0028364C" w:rsidRDefault="0012387A" w:rsidP="009019E6">
      <w:pPr>
        <w:pStyle w:val="Cmsor3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</w:rPr>
      </w:pPr>
      <w:r w:rsidRPr="0028364C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</w:rPr>
        <w:t>Alapbér</w:t>
      </w:r>
      <w:bookmarkEnd w:id="6"/>
      <w:bookmarkEnd w:id="7"/>
      <w:bookmarkEnd w:id="8"/>
      <w:bookmarkEnd w:id="9"/>
    </w:p>
    <w:p w14:paraId="634AE46F" w14:textId="77777777" w:rsidR="003A1102" w:rsidRPr="0028364C" w:rsidRDefault="003A1102" w:rsidP="003A1102">
      <w:pPr>
        <w:pStyle w:val="Default"/>
        <w:rPr>
          <w:rFonts w:ascii="Times New Roman" w:eastAsiaTheme="minorEastAsia" w:hAnsi="Times New Roman" w:cs="Times New Roman"/>
          <w:color w:val="auto"/>
          <w:lang w:eastAsia="en-US"/>
        </w:rPr>
      </w:pPr>
    </w:p>
    <w:p w14:paraId="4B2A64D8" w14:textId="758984CC" w:rsidR="0012387A" w:rsidRPr="0028364C" w:rsidRDefault="0012387A" w:rsidP="009019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F371CD">
        <w:rPr>
          <w:rFonts w:ascii="Times New Roman" w:hAnsi="Times New Roman" w:cs="Times New Roman"/>
          <w:sz w:val="24"/>
          <w:szCs w:val="24"/>
        </w:rPr>
        <w:t xml:space="preserve">Bank </w:t>
      </w:r>
      <w:r w:rsidRPr="0028364C">
        <w:rPr>
          <w:rFonts w:ascii="Times New Roman" w:hAnsi="Times New Roman" w:cs="Times New Roman"/>
          <w:sz w:val="24"/>
          <w:szCs w:val="24"/>
        </w:rPr>
        <w:t xml:space="preserve">munkavállalói alapbérre jogosultak, amelyet </w:t>
      </w:r>
      <w:r w:rsidR="003A1102"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Pr="0028364C">
        <w:rPr>
          <w:rFonts w:ascii="Times New Roman" w:hAnsi="Times New Roman" w:cs="Times New Roman"/>
          <w:sz w:val="24"/>
          <w:szCs w:val="24"/>
        </w:rPr>
        <w:t xml:space="preserve">számlájukra </w:t>
      </w:r>
      <w:r w:rsidR="00F051D7" w:rsidRPr="0028364C">
        <w:rPr>
          <w:rFonts w:ascii="Times New Roman" w:hAnsi="Times New Roman" w:cs="Times New Roman"/>
          <w:sz w:val="24"/>
          <w:szCs w:val="24"/>
        </w:rPr>
        <w:t>történő átutalással kapnak meg.</w:t>
      </w:r>
    </w:p>
    <w:p w14:paraId="346B893D" w14:textId="10C48E73" w:rsidR="0012387A" w:rsidRPr="0028364C" w:rsidRDefault="0012387A" w:rsidP="009019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Alapjavadalomnak minősül továbbá az Mt. szabályai alapján </w:t>
      </w:r>
      <w:r w:rsidR="003A1102" w:rsidRPr="0028364C">
        <w:rPr>
          <w:rFonts w:ascii="Times New Roman" w:hAnsi="Times New Roman" w:cs="Times New Roman"/>
          <w:sz w:val="24"/>
          <w:szCs w:val="24"/>
        </w:rPr>
        <w:t xml:space="preserve">fizetett díj és pótlék (pl.: </w:t>
      </w:r>
      <w:r w:rsidRPr="0028364C">
        <w:rPr>
          <w:rFonts w:ascii="Times New Roman" w:hAnsi="Times New Roman" w:cs="Times New Roman"/>
          <w:sz w:val="24"/>
          <w:szCs w:val="24"/>
        </w:rPr>
        <w:t xml:space="preserve">rendkívüli munkavégzés esetén fizetett </w:t>
      </w:r>
      <w:r w:rsidR="00211035" w:rsidRPr="0028364C">
        <w:rPr>
          <w:rFonts w:ascii="Times New Roman" w:hAnsi="Times New Roman" w:cs="Times New Roman"/>
          <w:sz w:val="24"/>
          <w:szCs w:val="24"/>
        </w:rPr>
        <w:t>bér</w:t>
      </w:r>
      <w:r w:rsidRPr="0028364C">
        <w:rPr>
          <w:rFonts w:ascii="Times New Roman" w:hAnsi="Times New Roman" w:cs="Times New Roman"/>
          <w:sz w:val="24"/>
          <w:szCs w:val="24"/>
        </w:rPr>
        <w:t xml:space="preserve">pótlék, munkaviszony megszűnéshez, megszüntetéshez kapcsolódó felmondási idő és szabadság megváltás, továbbá a </w:t>
      </w:r>
      <w:r w:rsidR="003A1102" w:rsidRPr="0028364C">
        <w:rPr>
          <w:rFonts w:ascii="Times New Roman" w:hAnsi="Times New Roman" w:cs="Times New Roman"/>
          <w:sz w:val="24"/>
          <w:szCs w:val="24"/>
        </w:rPr>
        <w:t>betegszabadság és a táppénz.</w:t>
      </w:r>
      <w:r w:rsidR="002E79A6">
        <w:rPr>
          <w:rFonts w:ascii="Times New Roman" w:hAnsi="Times New Roman" w:cs="Times New Roman"/>
          <w:sz w:val="24"/>
          <w:szCs w:val="24"/>
        </w:rPr>
        <w:t>)</w:t>
      </w:r>
    </w:p>
    <w:p w14:paraId="1C7CA9AD" w14:textId="77777777" w:rsidR="007A4125" w:rsidRPr="0028364C" w:rsidRDefault="0012387A" w:rsidP="009019E6">
      <w:pPr>
        <w:pStyle w:val="Cmsor3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</w:rPr>
      </w:pPr>
      <w:bookmarkStart w:id="10" w:name="_Toc462477610"/>
      <w:bookmarkStart w:id="11" w:name="_Toc482706595"/>
      <w:bookmarkStart w:id="12" w:name="_Toc107237245"/>
      <w:bookmarkStart w:id="13" w:name="_Toc109047094"/>
      <w:r w:rsidRPr="0028364C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</w:rPr>
        <w:t>Béren kívüli juttatások</w:t>
      </w:r>
      <w:bookmarkEnd w:id="10"/>
      <w:bookmarkEnd w:id="11"/>
      <w:bookmarkEnd w:id="12"/>
      <w:bookmarkEnd w:id="13"/>
    </w:p>
    <w:p w14:paraId="75861462" w14:textId="6B166049" w:rsidR="0012387A" w:rsidRPr="0028364C" w:rsidRDefault="0012387A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8D0565">
        <w:rPr>
          <w:rFonts w:ascii="Times New Roman" w:hAnsi="Times New Roman" w:cs="Times New Roman"/>
          <w:sz w:val="24"/>
          <w:szCs w:val="24"/>
        </w:rPr>
        <w:t>Bank</w:t>
      </w:r>
      <w:r w:rsidR="008D0565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C40FBF">
        <w:rPr>
          <w:rFonts w:ascii="Times New Roman" w:hAnsi="Times New Roman" w:cs="Times New Roman"/>
          <w:sz w:val="24"/>
          <w:szCs w:val="24"/>
        </w:rPr>
        <w:t xml:space="preserve">dolgozói </w:t>
      </w:r>
      <w:r w:rsidR="008839A7" w:rsidRPr="0028364C">
        <w:rPr>
          <w:rFonts w:ascii="Times New Roman" w:hAnsi="Times New Roman" w:cs="Times New Roman"/>
          <w:sz w:val="24"/>
          <w:szCs w:val="24"/>
        </w:rPr>
        <w:t>belső szabályzatban, u</w:t>
      </w:r>
      <w:r w:rsidR="007A4125" w:rsidRPr="0028364C">
        <w:rPr>
          <w:rFonts w:ascii="Times New Roman" w:hAnsi="Times New Roman" w:cs="Times New Roman"/>
          <w:sz w:val="24"/>
          <w:szCs w:val="24"/>
        </w:rPr>
        <w:t>t</w:t>
      </w:r>
      <w:r w:rsidR="00BB10A3" w:rsidRPr="0028364C">
        <w:rPr>
          <w:rFonts w:ascii="Times New Roman" w:hAnsi="Times New Roman" w:cs="Times New Roman"/>
          <w:sz w:val="24"/>
          <w:szCs w:val="24"/>
        </w:rPr>
        <w:t>asításban</w:t>
      </w:r>
      <w:r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7A4125" w:rsidRPr="0028364C">
        <w:rPr>
          <w:rFonts w:ascii="Times New Roman" w:hAnsi="Times New Roman" w:cs="Times New Roman"/>
          <w:sz w:val="24"/>
          <w:szCs w:val="24"/>
        </w:rPr>
        <w:t>meg</w:t>
      </w:r>
      <w:r w:rsidR="00BB10A3" w:rsidRPr="0028364C">
        <w:rPr>
          <w:rFonts w:ascii="Times New Roman" w:hAnsi="Times New Roman" w:cs="Times New Roman"/>
          <w:sz w:val="24"/>
          <w:szCs w:val="24"/>
        </w:rPr>
        <w:t>határozottak alapján</w:t>
      </w:r>
      <w:r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2A6CE9" w:rsidRPr="0028364C">
        <w:rPr>
          <w:rFonts w:ascii="Times New Roman" w:hAnsi="Times New Roman" w:cs="Times New Roman"/>
          <w:sz w:val="24"/>
          <w:szCs w:val="24"/>
        </w:rPr>
        <w:t>béren kívüli</w:t>
      </w:r>
      <w:r w:rsidRPr="0028364C">
        <w:rPr>
          <w:rFonts w:ascii="Times New Roman" w:hAnsi="Times New Roman" w:cs="Times New Roman"/>
          <w:sz w:val="24"/>
          <w:szCs w:val="24"/>
        </w:rPr>
        <w:t xml:space="preserve"> juttatások</w:t>
      </w:r>
      <w:r w:rsidR="007A4125" w:rsidRPr="0028364C">
        <w:rPr>
          <w:rFonts w:ascii="Times New Roman" w:hAnsi="Times New Roman" w:cs="Times New Roman"/>
          <w:sz w:val="24"/>
          <w:szCs w:val="24"/>
        </w:rPr>
        <w:t>ra lehetnek jogosultak</w:t>
      </w:r>
      <w:r w:rsidR="002A6CE9" w:rsidRPr="0028364C">
        <w:rPr>
          <w:rFonts w:ascii="Times New Roman" w:hAnsi="Times New Roman" w:cs="Times New Roman"/>
          <w:sz w:val="24"/>
          <w:szCs w:val="24"/>
        </w:rPr>
        <w:t xml:space="preserve">. Ezen juttatásokról a Bank </w:t>
      </w:r>
      <w:r w:rsidR="00A24B5A" w:rsidRPr="0028364C">
        <w:rPr>
          <w:rFonts w:ascii="Times New Roman" w:hAnsi="Times New Roman" w:cs="Times New Roman"/>
          <w:sz w:val="24"/>
          <w:szCs w:val="24"/>
        </w:rPr>
        <w:t>Humánerőforrás gazdálkodásra vonatkozó szabályzata</w:t>
      </w:r>
      <w:r w:rsidR="002A6CE9" w:rsidRPr="0028364C">
        <w:rPr>
          <w:rFonts w:ascii="Times New Roman" w:hAnsi="Times New Roman" w:cs="Times New Roman"/>
          <w:sz w:val="24"/>
          <w:szCs w:val="24"/>
        </w:rPr>
        <w:t xml:space="preserve"> rendelkezik.</w:t>
      </w:r>
      <w:r w:rsidRPr="00283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89E00" w14:textId="77777777" w:rsidR="001E3749" w:rsidRPr="0028364C" w:rsidRDefault="001E3749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DB6EC" w14:textId="77777777" w:rsidR="001E3749" w:rsidRPr="00B40543" w:rsidRDefault="001E3749" w:rsidP="001E3749">
      <w:pPr>
        <w:tabs>
          <w:tab w:val="left" w:pos="786"/>
          <w:tab w:val="left" w:pos="85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0543">
        <w:rPr>
          <w:rFonts w:ascii="Times New Roman" w:hAnsi="Times New Roman" w:cs="Times New Roman"/>
          <w:sz w:val="24"/>
          <w:szCs w:val="24"/>
        </w:rPr>
        <w:t>A Bank béren kívüli juttatásként</w:t>
      </w:r>
    </w:p>
    <w:p w14:paraId="6DCF4F34" w14:textId="77777777" w:rsidR="001E3749" w:rsidRPr="0028364C" w:rsidRDefault="001E3749" w:rsidP="001E3749">
      <w:pPr>
        <w:pStyle w:val="Listaszerbekezds"/>
        <w:numPr>
          <w:ilvl w:val="0"/>
          <w:numId w:val="30"/>
        </w:numPr>
        <w:tabs>
          <w:tab w:val="left" w:pos="786"/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választható béren kívüli juttatásokat nyújt (</w:t>
      </w:r>
      <w:proofErr w:type="spellStart"/>
      <w:r w:rsidRPr="0028364C"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 w:rsidRPr="0028364C">
        <w:rPr>
          <w:rFonts w:ascii="Times New Roman" w:hAnsi="Times New Roman" w:cs="Times New Roman"/>
          <w:sz w:val="24"/>
          <w:szCs w:val="24"/>
        </w:rPr>
        <w:t>),</w:t>
      </w:r>
    </w:p>
    <w:p w14:paraId="451E6511" w14:textId="77777777" w:rsidR="001E3749" w:rsidRPr="0028364C" w:rsidRDefault="001E3749" w:rsidP="001E3749">
      <w:pPr>
        <w:pStyle w:val="Listaszerbekezds"/>
        <w:numPr>
          <w:ilvl w:val="0"/>
          <w:numId w:val="30"/>
        </w:numPr>
        <w:tabs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munkába járáshoz közlekedési hozzájárulást nyújt, </w:t>
      </w:r>
    </w:p>
    <w:p w14:paraId="3A181BA9" w14:textId="68AF4FBD" w:rsidR="001E3749" w:rsidRPr="0028364C" w:rsidRDefault="001E3749" w:rsidP="001E3749">
      <w:pPr>
        <w:pStyle w:val="Listaszerbekezds"/>
        <w:numPr>
          <w:ilvl w:val="0"/>
          <w:numId w:val="30"/>
        </w:numPr>
        <w:tabs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egyes munkavállalói számára személyes és/vagy hivatali célú, banki tulajdonú gépjármű</w:t>
      </w:r>
      <w:r w:rsidR="00EC11A7">
        <w:rPr>
          <w:rFonts w:ascii="Times New Roman" w:hAnsi="Times New Roman" w:cs="Times New Roman"/>
          <w:sz w:val="24"/>
          <w:szCs w:val="24"/>
        </w:rPr>
        <w:t>t ad</w:t>
      </w:r>
      <w:r w:rsidRPr="0028364C">
        <w:rPr>
          <w:rFonts w:ascii="Times New Roman" w:hAnsi="Times New Roman" w:cs="Times New Roman"/>
          <w:sz w:val="24"/>
          <w:szCs w:val="24"/>
        </w:rPr>
        <w:t>, illetve</w:t>
      </w:r>
    </w:p>
    <w:p w14:paraId="49E9FE1B" w14:textId="77777777" w:rsidR="001E3749" w:rsidRPr="0028364C" w:rsidRDefault="001E3749" w:rsidP="001E3749">
      <w:pPr>
        <w:pStyle w:val="Listaszerbekezds"/>
        <w:numPr>
          <w:ilvl w:val="0"/>
          <w:numId w:val="30"/>
        </w:numPr>
        <w:tabs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mobiltelefon és mobilinternet használatot biztosít</w:t>
      </w:r>
    </w:p>
    <w:p w14:paraId="30C6383D" w14:textId="77777777" w:rsidR="001E3749" w:rsidRPr="0028364C" w:rsidRDefault="001E3749" w:rsidP="001E3749">
      <w:pPr>
        <w:pStyle w:val="Listaszerbekezds"/>
        <w:numPr>
          <w:ilvl w:val="0"/>
          <w:numId w:val="30"/>
        </w:numPr>
        <w:tabs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kedvezményes dolgozói hitelt, betételhelyezési lehetőséget valamint munkabér előleget nyújt</w:t>
      </w:r>
    </w:p>
    <w:p w14:paraId="3F683B40" w14:textId="77777777" w:rsidR="001E3749" w:rsidRPr="0028364C" w:rsidRDefault="001E3749" w:rsidP="001E3749">
      <w:pPr>
        <w:pStyle w:val="Listaszerbekezds"/>
        <w:numPr>
          <w:ilvl w:val="0"/>
          <w:numId w:val="30"/>
        </w:numPr>
        <w:tabs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Bank hosszú távú üzleti érdekeinek megfelelő oktatás finanszírozását vállalja</w:t>
      </w:r>
    </w:p>
    <w:p w14:paraId="1CB5DDD8" w14:textId="146FD592" w:rsidR="001E3749" w:rsidRDefault="001E3749" w:rsidP="001E3749">
      <w:pPr>
        <w:pStyle w:val="Listaszerbekezds"/>
        <w:numPr>
          <w:ilvl w:val="0"/>
          <w:numId w:val="30"/>
        </w:numPr>
        <w:tabs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kitüntetési rendszert alkalmaz</w:t>
      </w:r>
      <w:r w:rsidR="001B65F0">
        <w:rPr>
          <w:rFonts w:ascii="Times New Roman" w:hAnsi="Times New Roman" w:cs="Times New Roman"/>
          <w:sz w:val="24"/>
          <w:szCs w:val="24"/>
        </w:rPr>
        <w:t xml:space="preserve"> (törzsgárda/lojalitási rendszer)</w:t>
      </w:r>
    </w:p>
    <w:p w14:paraId="0144129A" w14:textId="67C09E18" w:rsidR="00B82328" w:rsidRPr="0028364C" w:rsidRDefault="00B82328" w:rsidP="001E3749">
      <w:pPr>
        <w:pStyle w:val="Listaszerbekezds"/>
        <w:numPr>
          <w:ilvl w:val="0"/>
          <w:numId w:val="30"/>
        </w:numPr>
        <w:tabs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karácsonyi „pulykapénz” juttatást alkalmaz tárgyévi lojalitásként</w:t>
      </w:r>
    </w:p>
    <w:p w14:paraId="23E5B55B" w14:textId="5FE73AC9" w:rsidR="00524585" w:rsidRDefault="001E3749" w:rsidP="009019E6">
      <w:pPr>
        <w:pStyle w:val="Listaszerbekezds"/>
        <w:numPr>
          <w:ilvl w:val="0"/>
          <w:numId w:val="30"/>
        </w:numPr>
        <w:tabs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egyéb eseti támogatásokat nyújthat (temetési segély, ruházati hozzájárulás, védőszemüveg, iskolakezdési támogatás, dolgozók részére kötött biztosítás</w:t>
      </w:r>
      <w:r w:rsidR="00984B6A">
        <w:rPr>
          <w:rFonts w:ascii="Times New Roman" w:hAnsi="Times New Roman" w:cs="Times New Roman"/>
          <w:sz w:val="24"/>
          <w:szCs w:val="24"/>
        </w:rPr>
        <w:t xml:space="preserve">, </w:t>
      </w:r>
      <w:r w:rsidR="00E54E99">
        <w:rPr>
          <w:rFonts w:ascii="Times New Roman" w:hAnsi="Times New Roman" w:cs="Times New Roman"/>
          <w:sz w:val="24"/>
          <w:szCs w:val="24"/>
        </w:rPr>
        <w:t>saját tulajdonba vásárolt</w:t>
      </w:r>
      <w:r w:rsidR="00984B6A">
        <w:rPr>
          <w:rFonts w:ascii="Times New Roman" w:hAnsi="Times New Roman" w:cs="Times New Roman"/>
          <w:sz w:val="24"/>
          <w:szCs w:val="24"/>
        </w:rPr>
        <w:t xml:space="preserve"> mobiltelefon támogatás</w:t>
      </w:r>
      <w:r w:rsidR="00D869A5">
        <w:rPr>
          <w:rFonts w:ascii="Times New Roman" w:hAnsi="Times New Roman" w:cs="Times New Roman"/>
          <w:sz w:val="24"/>
          <w:szCs w:val="24"/>
        </w:rPr>
        <w:t>, rekreációs utazási támogatás</w:t>
      </w:r>
      <w:r w:rsidRPr="0028364C">
        <w:rPr>
          <w:rFonts w:ascii="Times New Roman" w:hAnsi="Times New Roman" w:cs="Times New Roman"/>
          <w:sz w:val="24"/>
          <w:szCs w:val="24"/>
        </w:rPr>
        <w:t>)</w:t>
      </w:r>
      <w:bookmarkStart w:id="14" w:name="_Toc462477611"/>
    </w:p>
    <w:p w14:paraId="2160FE82" w14:textId="5129CFBE" w:rsidR="001B65F0" w:rsidRDefault="001B65F0" w:rsidP="009019E6">
      <w:pPr>
        <w:pStyle w:val="Listaszerbekezds"/>
        <w:numPr>
          <w:ilvl w:val="0"/>
          <w:numId w:val="30"/>
        </w:numPr>
        <w:tabs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bérpótlék</w:t>
      </w:r>
    </w:p>
    <w:p w14:paraId="5A747930" w14:textId="77777777" w:rsidR="0059797D" w:rsidRPr="0059797D" w:rsidRDefault="0059797D" w:rsidP="0059797D">
      <w:pPr>
        <w:pStyle w:val="Listaszerbekezds"/>
        <w:tabs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7B3C5" w14:textId="77777777" w:rsidR="005B495F" w:rsidRPr="0028364C" w:rsidRDefault="0012387A" w:rsidP="009019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64C">
        <w:rPr>
          <w:rFonts w:ascii="Times New Roman" w:hAnsi="Times New Roman" w:cs="Times New Roman"/>
          <w:sz w:val="24"/>
          <w:szCs w:val="24"/>
          <w:u w:val="single"/>
        </w:rPr>
        <w:t>Tiszteletdíj</w:t>
      </w:r>
      <w:bookmarkEnd w:id="14"/>
    </w:p>
    <w:p w14:paraId="75A04642" w14:textId="613134E7" w:rsidR="005A7570" w:rsidRDefault="0012387A" w:rsidP="005A7570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C40FBF">
        <w:rPr>
          <w:rFonts w:ascii="Times New Roman" w:hAnsi="Times New Roman" w:cs="Times New Roman"/>
          <w:sz w:val="24"/>
          <w:szCs w:val="24"/>
        </w:rPr>
        <w:t>Bank</w:t>
      </w:r>
      <w:r w:rsidR="00C40FBF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hAnsi="Times New Roman" w:cs="Times New Roman"/>
          <w:sz w:val="24"/>
          <w:szCs w:val="24"/>
        </w:rPr>
        <w:t xml:space="preserve">Igazgatóságának és Felügyelőbizottságának elnöke és tagjai </w:t>
      </w:r>
      <w:r w:rsidR="00307928">
        <w:rPr>
          <w:rFonts w:ascii="Times New Roman" w:hAnsi="Times New Roman" w:cs="Times New Roman"/>
          <w:sz w:val="24"/>
          <w:szCs w:val="24"/>
        </w:rPr>
        <w:t>a Közgyűlés által meghatározott összegben és</w:t>
      </w:r>
      <w:r w:rsidRPr="0028364C">
        <w:rPr>
          <w:rFonts w:ascii="Times New Roman" w:hAnsi="Times New Roman" w:cs="Times New Roman"/>
          <w:sz w:val="24"/>
          <w:szCs w:val="24"/>
        </w:rPr>
        <w:t xml:space="preserve"> rendszerességgel </w:t>
      </w:r>
      <w:r w:rsidR="003B56A1" w:rsidRPr="0028364C">
        <w:rPr>
          <w:rFonts w:ascii="Times New Roman" w:hAnsi="Times New Roman" w:cs="Times New Roman"/>
          <w:sz w:val="24"/>
          <w:szCs w:val="24"/>
        </w:rPr>
        <w:t>tiszteletdíjban részesülhetnek.</w:t>
      </w:r>
      <w:r w:rsidR="00A448C3" w:rsidRPr="0028364C">
        <w:rPr>
          <w:rFonts w:ascii="Times New Roman" w:hAnsi="Times New Roman" w:cs="Times New Roman"/>
          <w:sz w:val="24"/>
          <w:szCs w:val="24"/>
        </w:rPr>
        <w:t xml:space="preserve"> A külső IG/FB tagok teljesítményjavadalmazásban nem részesülnek.</w:t>
      </w:r>
    </w:p>
    <w:p w14:paraId="32022C6D" w14:textId="77777777" w:rsidR="00007D9B" w:rsidRPr="0028364C" w:rsidRDefault="00007D9B" w:rsidP="005A7570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2C6EAF" w14:textId="77777777" w:rsidR="00F051D7" w:rsidRPr="0028364C" w:rsidRDefault="00DA0B75" w:rsidP="009019E6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28364C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424D1A" w:rsidRPr="0028364C">
        <w:rPr>
          <w:rFonts w:ascii="Times New Roman" w:hAnsi="Times New Roman" w:cs="Times New Roman"/>
          <w:b/>
          <w:sz w:val="24"/>
          <w:szCs w:val="24"/>
        </w:rPr>
        <w:t>Teljesítményjavadalmazás formái</w:t>
      </w:r>
      <w:bookmarkStart w:id="15" w:name="_Toc482706597"/>
    </w:p>
    <w:p w14:paraId="259F0AEA" w14:textId="77777777" w:rsidR="00F051D7" w:rsidRPr="0028364C" w:rsidRDefault="00F051D7" w:rsidP="009019E6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1727697" w14:textId="77777777" w:rsidR="002C1C47" w:rsidRPr="0028364C" w:rsidRDefault="00F32669" w:rsidP="009019E6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Minden javadalomelem, amely nem felel meg az alapjavadalmazás címszó alatt felsorolt kritériumoknak, teljesítményjavadalomnak minősül, így különösen:</w:t>
      </w:r>
      <w:bookmarkStart w:id="16" w:name="_Toc482706598"/>
      <w:bookmarkEnd w:id="15"/>
    </w:p>
    <w:p w14:paraId="7F3C78E9" w14:textId="77777777" w:rsidR="002C1C47" w:rsidRDefault="002E24B4" w:rsidP="002659F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prémium, célprémium</w:t>
      </w:r>
      <w:r w:rsidR="00F32669" w:rsidRPr="0028364C">
        <w:rPr>
          <w:rFonts w:ascii="Times New Roman" w:hAnsi="Times New Roman" w:cs="Times New Roman"/>
          <w:sz w:val="24"/>
          <w:szCs w:val="24"/>
        </w:rPr>
        <w:t>, jutalom, jutalék</w:t>
      </w:r>
      <w:bookmarkStart w:id="17" w:name="_Toc482706599"/>
      <w:bookmarkEnd w:id="16"/>
    </w:p>
    <w:p w14:paraId="71F79455" w14:textId="1C4A593D" w:rsidR="00007D9B" w:rsidRPr="0028364C" w:rsidRDefault="00007D9B" w:rsidP="002659F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megtartási bónusz</w:t>
      </w:r>
    </w:p>
    <w:p w14:paraId="329A294D" w14:textId="77777777" w:rsidR="00007D9B" w:rsidRPr="00E92F8A" w:rsidRDefault="00F3266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munkaviszony megszüntetés esetén közös megegyezéshez kapcsolódóan kifizetett összeg</w:t>
      </w:r>
      <w:bookmarkEnd w:id="17"/>
      <w:r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2E24B4" w:rsidRPr="0028364C">
        <w:rPr>
          <w:rFonts w:ascii="Times New Roman" w:hAnsi="Times New Roman" w:cs="Times New Roman"/>
          <w:sz w:val="24"/>
          <w:szCs w:val="24"/>
        </w:rPr>
        <w:t>(a Munka Törvénykönyv</w:t>
      </w:r>
      <w:r w:rsidR="00387C20">
        <w:rPr>
          <w:rFonts w:ascii="Times New Roman" w:hAnsi="Times New Roman" w:cs="Times New Roman"/>
          <w:sz w:val="24"/>
          <w:szCs w:val="24"/>
        </w:rPr>
        <w:t>é</w:t>
      </w:r>
      <w:r w:rsidR="002E24B4" w:rsidRPr="0028364C">
        <w:rPr>
          <w:rFonts w:ascii="Times New Roman" w:hAnsi="Times New Roman" w:cs="Times New Roman"/>
          <w:sz w:val="24"/>
          <w:szCs w:val="24"/>
        </w:rPr>
        <w:t>ben, vagy az egyéni munkaszerződésben foglalt összegen felüli rész</w:t>
      </w:r>
      <w:r w:rsidR="004D0938">
        <w:rPr>
          <w:rFonts w:ascii="Times New Roman" w:hAnsi="Times New Roman" w:cs="Times New Roman"/>
          <w:sz w:val="24"/>
          <w:szCs w:val="24"/>
        </w:rPr>
        <w:t>)</w:t>
      </w:r>
    </w:p>
    <w:p w14:paraId="264E5567" w14:textId="5095F23E" w:rsidR="004D6CF4" w:rsidRPr="004D6CF4" w:rsidRDefault="004D0938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végkielégítés</w:t>
      </w:r>
      <w:bookmarkStart w:id="18" w:name="_Toc482706600"/>
    </w:p>
    <w:p w14:paraId="2AC5779E" w14:textId="77777777" w:rsidR="00EE29F0" w:rsidRPr="0028364C" w:rsidRDefault="00EE29F0" w:rsidP="009019E6">
      <w:pPr>
        <w:pStyle w:val="Cmsor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</w:rPr>
      </w:pPr>
      <w:bookmarkStart w:id="19" w:name="_Toc107237246"/>
      <w:bookmarkStart w:id="20" w:name="_Toc109047095"/>
      <w:r w:rsidRPr="0028364C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</w:rPr>
        <w:lastRenderedPageBreak/>
        <w:t>Prémium</w:t>
      </w:r>
      <w:bookmarkEnd w:id="18"/>
      <w:bookmarkEnd w:id="19"/>
      <w:bookmarkEnd w:id="20"/>
    </w:p>
    <w:p w14:paraId="748ABE43" w14:textId="7AA78BCD" w:rsidR="00D467CF" w:rsidRPr="0028364C" w:rsidRDefault="00E134E5" w:rsidP="009019E6">
      <w:pPr>
        <w:pStyle w:val="Cmsor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21" w:name="_Toc482706601"/>
      <w:bookmarkStart w:id="22" w:name="_Toc107237247"/>
      <w:bookmarkStart w:id="23" w:name="_Toc109047096"/>
      <w:r w:rsidRPr="0028364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A </w:t>
      </w:r>
      <w:r w:rsidR="00BA0BDD">
        <w:rPr>
          <w:rFonts w:ascii="Times New Roman" w:eastAsiaTheme="minorEastAsia" w:hAnsi="Times New Roman" w:cs="Times New Roman"/>
          <w:color w:val="auto"/>
          <w:sz w:val="24"/>
          <w:szCs w:val="24"/>
        </w:rPr>
        <w:t>Bank</w:t>
      </w:r>
      <w:r w:rsidR="00BA0BDD" w:rsidRPr="0028364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D467CF" w:rsidRPr="0028364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belső szabályzatban rendelkezik - A </w:t>
      </w:r>
      <w:r w:rsidR="00D467CF" w:rsidRPr="0028364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Duna Takarék Bank </w:t>
      </w:r>
      <w:proofErr w:type="spellStart"/>
      <w:r w:rsidR="00D467CF" w:rsidRPr="0028364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Zrt</w:t>
      </w:r>
      <w:proofErr w:type="spellEnd"/>
      <w:r w:rsidR="00D467CF" w:rsidRPr="0028364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. (DTB) </w:t>
      </w:r>
      <w:r w:rsidR="00371669" w:rsidRPr="0028364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központi teljesítmény értékelési és mozgóbérezési</w:t>
      </w:r>
      <w:r w:rsidR="00D467CF" w:rsidRPr="0028364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rendszerének</w:t>
      </w:r>
      <w:r w:rsidR="00D467CF" w:rsidRPr="0028364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D467CF" w:rsidRPr="000F4B51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alapelvei </w:t>
      </w:r>
      <w:r w:rsidR="00D467CF" w:rsidRPr="0028364C">
        <w:rPr>
          <w:rFonts w:ascii="Times New Roman" w:eastAsiaTheme="minorEastAsia" w:hAnsi="Times New Roman" w:cs="Times New Roman"/>
          <w:color w:val="auto"/>
          <w:sz w:val="24"/>
          <w:szCs w:val="24"/>
        </w:rPr>
        <w:t>- a Prémiumra jogosultakra von</w:t>
      </w:r>
      <w:r w:rsidR="00A47FCB" w:rsidRPr="0028364C">
        <w:rPr>
          <w:rFonts w:ascii="Times New Roman" w:eastAsiaTheme="minorEastAsia" w:hAnsi="Times New Roman" w:cs="Times New Roman"/>
          <w:color w:val="auto"/>
          <w:sz w:val="24"/>
          <w:szCs w:val="24"/>
        </w:rPr>
        <w:t>at</w:t>
      </w:r>
      <w:r w:rsidR="00D467CF" w:rsidRPr="0028364C">
        <w:rPr>
          <w:rFonts w:ascii="Times New Roman" w:eastAsiaTheme="minorEastAsia" w:hAnsi="Times New Roman" w:cs="Times New Roman"/>
          <w:color w:val="auto"/>
          <w:sz w:val="24"/>
          <w:szCs w:val="24"/>
        </w:rPr>
        <w:t>kozóan. A szabályzat elválaszthatatlan rész</w:t>
      </w:r>
      <w:r w:rsidR="00641DF2" w:rsidRPr="0028364C">
        <w:rPr>
          <w:rFonts w:ascii="Times New Roman" w:eastAsiaTheme="minorEastAsia" w:hAnsi="Times New Roman" w:cs="Times New Roman"/>
          <w:color w:val="auto"/>
          <w:sz w:val="24"/>
          <w:szCs w:val="24"/>
        </w:rPr>
        <w:t>e a Javadalmazási Politikának (</w:t>
      </w:r>
      <w:r w:rsidR="00764575">
        <w:rPr>
          <w:rFonts w:ascii="Times New Roman" w:eastAsiaTheme="minorEastAsia" w:hAnsi="Times New Roman" w:cs="Times New Roman"/>
          <w:color w:val="auto"/>
          <w:sz w:val="24"/>
          <w:szCs w:val="24"/>
        </w:rPr>
        <w:t>2</w:t>
      </w:r>
      <w:r w:rsidR="00D467CF" w:rsidRPr="0028364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. sz.</w:t>
      </w:r>
      <w:r w:rsidR="00371669" w:rsidRPr="0028364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</w:t>
      </w:r>
      <w:r w:rsidR="00D467CF" w:rsidRPr="0028364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melléklet</w:t>
      </w:r>
      <w:r w:rsidR="00D467CF" w:rsidRPr="0028364C">
        <w:rPr>
          <w:rFonts w:ascii="Times New Roman" w:eastAsiaTheme="minorEastAsia" w:hAnsi="Times New Roman" w:cs="Times New Roman"/>
          <w:color w:val="auto"/>
          <w:sz w:val="24"/>
          <w:szCs w:val="24"/>
        </w:rPr>
        <w:t>).</w:t>
      </w:r>
      <w:bookmarkEnd w:id="21"/>
      <w:bookmarkEnd w:id="22"/>
      <w:bookmarkEnd w:id="23"/>
    </w:p>
    <w:p w14:paraId="09B216B1" w14:textId="77777777" w:rsidR="00641DF2" w:rsidRPr="0028364C" w:rsidRDefault="00641DF2" w:rsidP="009019E6">
      <w:pPr>
        <w:pStyle w:val="Cmsor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24" w:name="_Toc482706602"/>
    </w:p>
    <w:p w14:paraId="101D2BA4" w14:textId="77777777" w:rsidR="00D467CF" w:rsidRPr="0028364C" w:rsidRDefault="00D467CF" w:rsidP="009019E6">
      <w:pPr>
        <w:pStyle w:val="Cmsor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25" w:name="_Toc107237248"/>
      <w:bookmarkStart w:id="26" w:name="_Toc109047097"/>
      <w:r w:rsidRPr="0028364C">
        <w:rPr>
          <w:rFonts w:ascii="Times New Roman" w:eastAsiaTheme="minorEastAsia" w:hAnsi="Times New Roman" w:cs="Times New Roman"/>
          <w:color w:val="auto"/>
          <w:sz w:val="24"/>
          <w:szCs w:val="24"/>
        </w:rPr>
        <w:t>A szabályzat magában foglalja az alábbi iránymutatásokat:</w:t>
      </w:r>
      <w:bookmarkEnd w:id="24"/>
      <w:bookmarkEnd w:id="25"/>
      <w:bookmarkEnd w:id="26"/>
    </w:p>
    <w:p w14:paraId="4A1FF3EA" w14:textId="77777777" w:rsidR="00D467CF" w:rsidRPr="0028364C" w:rsidRDefault="00D467CF" w:rsidP="00D467CF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ösztönzési rendszer célja</w:t>
      </w:r>
    </w:p>
    <w:p w14:paraId="46DD40D5" w14:textId="77777777" w:rsidR="00D467CF" w:rsidRPr="0028364C" w:rsidRDefault="00D467CF" w:rsidP="00D467CF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ösztönzési rendszer személyi hatálya</w:t>
      </w:r>
    </w:p>
    <w:p w14:paraId="310D09A4" w14:textId="77777777" w:rsidR="00D467CF" w:rsidRPr="0028364C" w:rsidRDefault="00D467CF" w:rsidP="00D467CF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ösztönzési rendszer formája</w:t>
      </w:r>
    </w:p>
    <w:p w14:paraId="5C379F62" w14:textId="77777777" w:rsidR="00D467CF" w:rsidRPr="0028364C" w:rsidRDefault="00D467CF" w:rsidP="00D467CF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ösztönzési rendszer keretében történő pénzbeli juttatás teljesítésének feltételei</w:t>
      </w:r>
    </w:p>
    <w:p w14:paraId="5CEA6564" w14:textId="77777777" w:rsidR="00F32669" w:rsidRPr="0028364C" w:rsidRDefault="00D467CF" w:rsidP="00257648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ösztönzési rendszer keretében adható pénzbeli juttatás lehetséges összege</w:t>
      </w:r>
    </w:p>
    <w:p w14:paraId="274091A9" w14:textId="08FD240C" w:rsidR="007C4E13" w:rsidRPr="0028364C" w:rsidRDefault="007C4E13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előre rögzített objektív mutatók meghatározása során  az alábbi szempontokat kell figyelembe venni:</w:t>
      </w:r>
    </w:p>
    <w:p w14:paraId="7320BC2F" w14:textId="77777777" w:rsidR="007C4E13" w:rsidRPr="0028364C" w:rsidRDefault="007C4E13" w:rsidP="007C4E13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az elért adózás előtti eredmény, </w:t>
      </w:r>
    </w:p>
    <w:p w14:paraId="49E05554" w14:textId="77777777" w:rsidR="007C4E13" w:rsidRPr="0028364C" w:rsidRDefault="007C4E13" w:rsidP="007C4E13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nem teljesítő hitelek részarányának változása,</w:t>
      </w:r>
    </w:p>
    <w:p w14:paraId="3E3653E7" w14:textId="77777777" w:rsidR="007C4E13" w:rsidRPr="0028364C" w:rsidRDefault="007C4E13" w:rsidP="007C4E13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tőkekövetelmény előírásnak való megfelelés mértéke,</w:t>
      </w:r>
    </w:p>
    <w:p w14:paraId="453D9D55" w14:textId="77777777" w:rsidR="007C4E13" w:rsidRPr="0028364C" w:rsidRDefault="007C4E13" w:rsidP="007C4E13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likviditási kockázatokat mérő mutatószámok változása,</w:t>
      </w:r>
    </w:p>
    <w:p w14:paraId="67C9AC9A" w14:textId="258913BF" w:rsidR="007C4E13" w:rsidRPr="0028364C" w:rsidRDefault="00E134E5" w:rsidP="007C4E13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BA0BDD">
        <w:rPr>
          <w:rFonts w:ascii="Times New Roman" w:hAnsi="Times New Roman" w:cs="Times New Roman"/>
          <w:sz w:val="24"/>
          <w:szCs w:val="24"/>
        </w:rPr>
        <w:t>Bank</w:t>
      </w:r>
      <w:r w:rsidR="00BA0BDD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7C4E13" w:rsidRPr="0028364C">
        <w:rPr>
          <w:rFonts w:ascii="Times New Roman" w:hAnsi="Times New Roman" w:cs="Times New Roman"/>
          <w:sz w:val="24"/>
          <w:szCs w:val="24"/>
        </w:rPr>
        <w:t>által meghatározott egyéb szempont</w:t>
      </w:r>
    </w:p>
    <w:p w14:paraId="36305142" w14:textId="71F0A016" w:rsidR="0059797D" w:rsidRDefault="00257648" w:rsidP="004016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célkitűzés és a tényleges teljesítmény értékelés folyamatát, rendjét és operatív feladatait a </w:t>
      </w:r>
      <w:r w:rsidR="00EE29F0" w:rsidRPr="0028364C">
        <w:rPr>
          <w:rFonts w:ascii="Times New Roman" w:hAnsi="Times New Roman" w:cs="Times New Roman"/>
          <w:sz w:val="24"/>
          <w:szCs w:val="24"/>
        </w:rPr>
        <w:t>7. pont</w:t>
      </w:r>
      <w:r w:rsidR="00E876B8" w:rsidRPr="0028364C">
        <w:rPr>
          <w:rFonts w:ascii="Times New Roman" w:hAnsi="Times New Roman" w:cs="Times New Roman"/>
          <w:sz w:val="24"/>
          <w:szCs w:val="24"/>
        </w:rPr>
        <w:t>, továbbá a szabályzat</w:t>
      </w:r>
      <w:r w:rsidR="00A9028E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764575">
        <w:rPr>
          <w:rFonts w:ascii="Times New Roman" w:hAnsi="Times New Roman" w:cs="Times New Roman"/>
          <w:sz w:val="24"/>
          <w:szCs w:val="24"/>
        </w:rPr>
        <w:t>5</w:t>
      </w:r>
      <w:r w:rsidR="00A9028E" w:rsidRPr="0028364C">
        <w:rPr>
          <w:rFonts w:ascii="Times New Roman" w:hAnsi="Times New Roman" w:cs="Times New Roman"/>
          <w:sz w:val="24"/>
          <w:szCs w:val="24"/>
        </w:rPr>
        <w:t>.</w:t>
      </w:r>
      <w:r w:rsidR="00E876B8" w:rsidRPr="0028364C">
        <w:rPr>
          <w:rFonts w:ascii="Times New Roman" w:hAnsi="Times New Roman" w:cs="Times New Roman"/>
          <w:sz w:val="24"/>
          <w:szCs w:val="24"/>
        </w:rPr>
        <w:t xml:space="preserve"> számú melléklete részletezi</w:t>
      </w:r>
      <w:r w:rsidR="00EE29F0" w:rsidRPr="0028364C">
        <w:rPr>
          <w:rFonts w:ascii="Times New Roman" w:hAnsi="Times New Roman" w:cs="Times New Roman"/>
          <w:sz w:val="24"/>
          <w:szCs w:val="24"/>
        </w:rPr>
        <w:t>.</w:t>
      </w:r>
      <w:r w:rsidRPr="00283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4F18A" w14:textId="77777777" w:rsidR="00371669" w:rsidRPr="0028364C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Prémiumra az a munkavállaló jogosult, aki az alábbi kritériumok mindegyikének megfelel:</w:t>
      </w:r>
    </w:p>
    <w:p w14:paraId="5DD2FD11" w14:textId="77777777" w:rsidR="00371669" w:rsidRPr="0028364C" w:rsidRDefault="00371669" w:rsidP="00371669">
      <w:pPr>
        <w:numPr>
          <w:ilvl w:val="0"/>
          <w:numId w:val="14"/>
        </w:numPr>
        <w:spacing w:before="100" w:beforeAutospacing="1"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rendelkezik az adott évre érvényes célkitűzéssel,</w:t>
      </w:r>
    </w:p>
    <w:p w14:paraId="02436F63" w14:textId="616D39F2" w:rsidR="00371669" w:rsidRPr="0028364C" w:rsidRDefault="00371669" w:rsidP="00371669">
      <w:pPr>
        <w:numPr>
          <w:ilvl w:val="0"/>
          <w:numId w:val="14"/>
        </w:numPr>
        <w:spacing w:before="100" w:beforeAutospacing="1"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értékelt időszaknak legalább a</w:t>
      </w:r>
      <w:r w:rsidR="007A347A">
        <w:rPr>
          <w:rFonts w:ascii="Times New Roman" w:hAnsi="Times New Roman" w:cs="Times New Roman"/>
          <w:sz w:val="24"/>
          <w:szCs w:val="24"/>
        </w:rPr>
        <w:t>z</w:t>
      </w:r>
      <w:r w:rsidRPr="0028364C">
        <w:rPr>
          <w:rFonts w:ascii="Times New Roman" w:hAnsi="Times New Roman" w:cs="Times New Roman"/>
          <w:sz w:val="24"/>
          <w:szCs w:val="24"/>
        </w:rPr>
        <w:t xml:space="preserve"> 50%-át aktív munkaviszonyban (30 napot meghaladó tartós távollét pl. betegség, GYED, GYES, nem számít aktív munkaviszonynak) töltötte</w:t>
      </w:r>
    </w:p>
    <w:p w14:paraId="584C5546" w14:textId="77777777" w:rsidR="00167F36" w:rsidRPr="0028364C" w:rsidRDefault="00167F36" w:rsidP="009019E6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Kizárja a kifizetést, ha</w:t>
      </w:r>
    </w:p>
    <w:p w14:paraId="037054BF" w14:textId="038E054C" w:rsidR="00167F36" w:rsidRPr="0028364C" w:rsidRDefault="00036684" w:rsidP="005616E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DD235E">
        <w:rPr>
          <w:rFonts w:ascii="Times New Roman" w:hAnsi="Times New Roman" w:cs="Times New Roman"/>
          <w:sz w:val="24"/>
          <w:szCs w:val="24"/>
        </w:rPr>
        <w:t>Bank</w:t>
      </w:r>
      <w:r w:rsidR="00DD235E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167F36" w:rsidRPr="0028364C">
        <w:rPr>
          <w:rFonts w:ascii="Times New Roman" w:hAnsi="Times New Roman" w:cs="Times New Roman"/>
          <w:sz w:val="24"/>
          <w:szCs w:val="24"/>
        </w:rPr>
        <w:t>esetében a tőke</w:t>
      </w:r>
      <w:r w:rsidR="00A315BB">
        <w:rPr>
          <w:rFonts w:ascii="Times New Roman" w:hAnsi="Times New Roman" w:cs="Times New Roman"/>
          <w:sz w:val="24"/>
          <w:szCs w:val="24"/>
        </w:rPr>
        <w:t xml:space="preserve"> </w:t>
      </w:r>
      <w:r w:rsidR="00167F36" w:rsidRPr="0028364C">
        <w:rPr>
          <w:rFonts w:ascii="Times New Roman" w:hAnsi="Times New Roman" w:cs="Times New Roman"/>
          <w:sz w:val="24"/>
          <w:szCs w:val="24"/>
        </w:rPr>
        <w:t>megfelelési mutató(k) jogszabályban előírt szint alatt marad,</w:t>
      </w:r>
    </w:p>
    <w:p w14:paraId="076FCF99" w14:textId="5BF2C298" w:rsidR="00167F36" w:rsidRPr="0028364C" w:rsidRDefault="00167F36" w:rsidP="00167F3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DD235E">
        <w:rPr>
          <w:rFonts w:ascii="Times New Roman" w:hAnsi="Times New Roman" w:cs="Times New Roman"/>
          <w:sz w:val="24"/>
          <w:szCs w:val="24"/>
        </w:rPr>
        <w:t>Bank</w:t>
      </w:r>
      <w:r w:rsidRPr="0028364C">
        <w:rPr>
          <w:rFonts w:ascii="Times New Roman" w:hAnsi="Times New Roman" w:cs="Times New Roman"/>
          <w:sz w:val="24"/>
          <w:szCs w:val="24"/>
        </w:rPr>
        <w:t xml:space="preserve"> tárgyévi eredménye veszteség (kivéve</w:t>
      </w:r>
      <w:r w:rsidR="004F3B84" w:rsidRPr="0028364C">
        <w:rPr>
          <w:rFonts w:ascii="Times New Roman" w:hAnsi="Times New Roman" w:cs="Times New Roman"/>
          <w:sz w:val="24"/>
          <w:szCs w:val="24"/>
        </w:rPr>
        <w:t>,</w:t>
      </w:r>
      <w:r w:rsidRPr="0028364C">
        <w:rPr>
          <w:rFonts w:ascii="Times New Roman" w:hAnsi="Times New Roman" w:cs="Times New Roman"/>
          <w:sz w:val="24"/>
          <w:szCs w:val="24"/>
        </w:rPr>
        <w:t xml:space="preserve"> ha a </w:t>
      </w:r>
      <w:r w:rsidR="00036684" w:rsidRPr="0028364C">
        <w:rPr>
          <w:rFonts w:ascii="Times New Roman" w:hAnsi="Times New Roman" w:cs="Times New Roman"/>
          <w:sz w:val="24"/>
          <w:szCs w:val="24"/>
        </w:rPr>
        <w:t xml:space="preserve">Duna </w:t>
      </w:r>
      <w:r w:rsidRPr="0028364C">
        <w:rPr>
          <w:rFonts w:ascii="Times New Roman" w:hAnsi="Times New Roman" w:cs="Times New Roman"/>
          <w:sz w:val="24"/>
          <w:szCs w:val="24"/>
        </w:rPr>
        <w:t>Takarék</w:t>
      </w:r>
      <w:r w:rsidR="00036684" w:rsidRPr="0028364C">
        <w:rPr>
          <w:rFonts w:ascii="Times New Roman" w:hAnsi="Times New Roman" w:cs="Times New Roman"/>
          <w:sz w:val="24"/>
          <w:szCs w:val="24"/>
        </w:rPr>
        <w:t xml:space="preserve"> B</w:t>
      </w:r>
      <w:r w:rsidRPr="0028364C">
        <w:rPr>
          <w:rFonts w:ascii="Times New Roman" w:hAnsi="Times New Roman" w:cs="Times New Roman"/>
          <w:sz w:val="24"/>
          <w:szCs w:val="24"/>
        </w:rPr>
        <w:t xml:space="preserve">ank </w:t>
      </w:r>
      <w:proofErr w:type="spellStart"/>
      <w:r w:rsidRPr="0028364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28364C">
        <w:rPr>
          <w:rFonts w:ascii="Times New Roman" w:hAnsi="Times New Roman" w:cs="Times New Roman"/>
          <w:sz w:val="24"/>
          <w:szCs w:val="24"/>
        </w:rPr>
        <w:t>. Igazgatósága ettől eltérő módon dönt),</w:t>
      </w:r>
    </w:p>
    <w:p w14:paraId="677BDA80" w14:textId="6C1964D5" w:rsidR="00167F36" w:rsidRPr="0028364C" w:rsidRDefault="00036684" w:rsidP="00167F36">
      <w:pPr>
        <w:numPr>
          <w:ilvl w:val="0"/>
          <w:numId w:val="14"/>
        </w:num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167F36" w:rsidRPr="0028364C">
        <w:rPr>
          <w:rFonts w:ascii="Times New Roman" w:hAnsi="Times New Roman" w:cs="Times New Roman"/>
          <w:sz w:val="24"/>
          <w:szCs w:val="24"/>
        </w:rPr>
        <w:t xml:space="preserve">személy magatartása a </w:t>
      </w:r>
      <w:r w:rsidR="00284108">
        <w:rPr>
          <w:rFonts w:ascii="Times New Roman" w:hAnsi="Times New Roman" w:cs="Times New Roman"/>
          <w:sz w:val="24"/>
          <w:szCs w:val="24"/>
        </w:rPr>
        <w:t>Bank</w:t>
      </w:r>
      <w:r w:rsidR="00284108" w:rsidRPr="0028364C">
        <w:rPr>
          <w:rFonts w:ascii="Times New Roman" w:hAnsi="Times New Roman" w:cs="Times New Roman"/>
          <w:sz w:val="24"/>
          <w:szCs w:val="24"/>
        </w:rPr>
        <w:t>nak</w:t>
      </w:r>
      <w:r w:rsidR="00167F36" w:rsidRPr="0028364C">
        <w:rPr>
          <w:rFonts w:ascii="Times New Roman" w:hAnsi="Times New Roman" w:cs="Times New Roman"/>
          <w:sz w:val="24"/>
          <w:szCs w:val="24"/>
        </w:rPr>
        <w:t xml:space="preserve"> veszteséget okozott.</w:t>
      </w:r>
    </w:p>
    <w:p w14:paraId="157A4A01" w14:textId="77777777" w:rsidR="00D467CF" w:rsidRPr="0028364C" w:rsidRDefault="00D526B4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Prémium juttatásának eszköze: 100% készpénz</w:t>
      </w:r>
    </w:p>
    <w:p w14:paraId="0F75B240" w14:textId="77777777" w:rsidR="009019E6" w:rsidRDefault="009019E6" w:rsidP="008A2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DE9031" w14:textId="0EBB7D42" w:rsidR="00EA7860" w:rsidRPr="0040168E" w:rsidRDefault="00DF4ACB" w:rsidP="0040168E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prémium</w:t>
      </w:r>
      <w:r w:rsidR="00EA7860" w:rsidRPr="0028364C">
        <w:rPr>
          <w:rFonts w:ascii="Times New Roman" w:hAnsi="Times New Roman" w:cs="Times New Roman"/>
          <w:sz w:val="24"/>
          <w:szCs w:val="24"/>
        </w:rPr>
        <w:t xml:space="preserve"> maximális aránya: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1418"/>
      </w:tblGrid>
      <w:tr w:rsidR="00EA7860" w:rsidRPr="0028364C" w14:paraId="4DC2A3AF" w14:textId="77777777" w:rsidTr="00923DBB">
        <w:trPr>
          <w:trHeight w:val="366"/>
          <w:jc w:val="center"/>
        </w:trPr>
        <w:tc>
          <w:tcPr>
            <w:tcW w:w="4961" w:type="dxa"/>
            <w:shd w:val="clear" w:color="auto" w:fill="BFBFBF" w:themeFill="background1" w:themeFillShade="BF"/>
          </w:tcPr>
          <w:p w14:paraId="114E7A13" w14:textId="77777777" w:rsidR="00EA7860" w:rsidRPr="0028364C" w:rsidRDefault="00EA7860" w:rsidP="00923DB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4C">
              <w:rPr>
                <w:rFonts w:ascii="Times New Roman" w:hAnsi="Times New Roman" w:cs="Times New Roman"/>
                <w:b/>
                <w:sz w:val="24"/>
                <w:szCs w:val="24"/>
              </w:rPr>
              <w:t>Kategória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AADEF51" w14:textId="77777777" w:rsidR="00EA7860" w:rsidRPr="0028364C" w:rsidRDefault="00EA7860" w:rsidP="00923DB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4C">
              <w:rPr>
                <w:rFonts w:ascii="Times New Roman" w:hAnsi="Times New Roman" w:cs="Times New Roman"/>
                <w:b/>
                <w:sz w:val="24"/>
                <w:szCs w:val="24"/>
              </w:rPr>
              <w:t>Arány</w:t>
            </w:r>
          </w:p>
        </w:tc>
      </w:tr>
      <w:tr w:rsidR="00EA7860" w:rsidRPr="0028364C" w14:paraId="3B5E0448" w14:textId="77777777" w:rsidTr="00923DBB">
        <w:trPr>
          <w:jc w:val="center"/>
        </w:trPr>
        <w:tc>
          <w:tcPr>
            <w:tcW w:w="4961" w:type="dxa"/>
          </w:tcPr>
          <w:p w14:paraId="3F0E3F53" w14:textId="77777777" w:rsidR="00EA7860" w:rsidRPr="0028364C" w:rsidRDefault="00EA7860" w:rsidP="00923DBB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4C">
              <w:rPr>
                <w:rFonts w:ascii="Times New Roman" w:hAnsi="Times New Roman" w:cs="Times New Roman"/>
                <w:sz w:val="24"/>
                <w:szCs w:val="24"/>
              </w:rPr>
              <w:t>Vezető állású és vezető beosztású mun</w:t>
            </w:r>
            <w:r w:rsidRPr="0028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kavállalók</w:t>
            </w:r>
          </w:p>
        </w:tc>
        <w:tc>
          <w:tcPr>
            <w:tcW w:w="1418" w:type="dxa"/>
          </w:tcPr>
          <w:p w14:paraId="20A02952" w14:textId="77777777" w:rsidR="00EA7860" w:rsidRPr="0028364C" w:rsidRDefault="00EA7860" w:rsidP="00923DB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2/12-ed</w:t>
            </w:r>
          </w:p>
        </w:tc>
      </w:tr>
      <w:tr w:rsidR="00EA7860" w:rsidRPr="0028364C" w14:paraId="2082FACB" w14:textId="77777777" w:rsidTr="00923DBB">
        <w:trPr>
          <w:jc w:val="center"/>
        </w:trPr>
        <w:tc>
          <w:tcPr>
            <w:tcW w:w="4961" w:type="dxa"/>
          </w:tcPr>
          <w:p w14:paraId="69C155E3" w14:textId="77777777" w:rsidR="00EA7860" w:rsidRPr="0028364C" w:rsidRDefault="00EA7860" w:rsidP="00923DBB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4C">
              <w:rPr>
                <w:rFonts w:ascii="Times New Roman" w:hAnsi="Times New Roman" w:cs="Times New Roman"/>
                <w:sz w:val="24"/>
                <w:szCs w:val="24"/>
              </w:rPr>
              <w:t xml:space="preserve">Értékesítést </w:t>
            </w:r>
            <w:r w:rsidRPr="002836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nem</w:t>
            </w:r>
            <w:r w:rsidRPr="0028364C">
              <w:rPr>
                <w:rFonts w:ascii="Times New Roman" w:hAnsi="Times New Roman" w:cs="Times New Roman"/>
                <w:sz w:val="24"/>
                <w:szCs w:val="24"/>
              </w:rPr>
              <w:t xml:space="preserve"> végző beosztott munkavállalók</w:t>
            </w:r>
          </w:p>
        </w:tc>
        <w:tc>
          <w:tcPr>
            <w:tcW w:w="1418" w:type="dxa"/>
          </w:tcPr>
          <w:p w14:paraId="3908C539" w14:textId="77777777" w:rsidR="00EA7860" w:rsidRPr="0028364C" w:rsidRDefault="00EA7860" w:rsidP="00923DB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4C">
              <w:rPr>
                <w:rFonts w:ascii="Times New Roman" w:hAnsi="Times New Roman" w:cs="Times New Roman"/>
                <w:sz w:val="24"/>
                <w:szCs w:val="24"/>
              </w:rPr>
              <w:t>1/12-ed</w:t>
            </w:r>
          </w:p>
        </w:tc>
      </w:tr>
    </w:tbl>
    <w:p w14:paraId="5BDC047A" w14:textId="77777777" w:rsidR="00EA7860" w:rsidRDefault="00EA7860" w:rsidP="00EA7860">
      <w:pPr>
        <w:rPr>
          <w:rFonts w:ascii="Times New Roman" w:hAnsi="Times New Roman" w:cs="Times New Roman"/>
          <w:b/>
          <w:sz w:val="24"/>
          <w:szCs w:val="24"/>
        </w:rPr>
      </w:pPr>
    </w:p>
    <w:p w14:paraId="22A4A825" w14:textId="77777777" w:rsidR="00EA7860" w:rsidRDefault="00EA7860" w:rsidP="00EA7860">
      <w:pPr>
        <w:rPr>
          <w:rFonts w:ascii="Times New Roman" w:hAnsi="Times New Roman" w:cs="Times New Roman"/>
          <w:b/>
          <w:sz w:val="24"/>
          <w:szCs w:val="24"/>
        </w:rPr>
      </w:pPr>
      <w:r w:rsidRPr="00B40543">
        <w:rPr>
          <w:rFonts w:ascii="Times New Roman" w:hAnsi="Times New Roman" w:cs="Times New Roman"/>
          <w:sz w:val="24"/>
          <w:szCs w:val="24"/>
        </w:rPr>
        <w:t>Fentiek alól kivételt jelentenek az egyéni teljesítmény alapján ösztönzött munkatársak</w:t>
      </w:r>
      <w:r>
        <w:rPr>
          <w:rFonts w:ascii="Times New Roman" w:hAnsi="Times New Roman" w:cs="Times New Roman"/>
          <w:sz w:val="24"/>
          <w:szCs w:val="24"/>
        </w:rPr>
        <w:t>, nekik 12/12-ed arány lehet a prémium maximális aránya.</w:t>
      </w:r>
    </w:p>
    <w:p w14:paraId="5AA82751" w14:textId="77777777" w:rsidR="00EA7860" w:rsidRDefault="00EA7860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40955" w14:textId="77777777" w:rsidR="008A0781" w:rsidRPr="0028364C" w:rsidRDefault="008A0781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64C">
        <w:rPr>
          <w:rFonts w:ascii="Times New Roman" w:hAnsi="Times New Roman" w:cs="Times New Roman"/>
          <w:sz w:val="24"/>
          <w:szCs w:val="24"/>
          <w:u w:val="single"/>
        </w:rPr>
        <w:t>Célprémium</w:t>
      </w:r>
    </w:p>
    <w:p w14:paraId="1A26D1AE" w14:textId="77777777" w:rsidR="009019E6" w:rsidRPr="0028364C" w:rsidRDefault="009019E6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46C4D8" w14:textId="77777777" w:rsidR="004870B4" w:rsidRPr="0028364C" w:rsidRDefault="008A0781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célprémium feltételek meghatározá</w:t>
      </w:r>
      <w:r w:rsidR="005D4540" w:rsidRPr="0028364C">
        <w:rPr>
          <w:rFonts w:ascii="Times New Roman" w:hAnsi="Times New Roman" w:cs="Times New Roman"/>
          <w:sz w:val="24"/>
          <w:szCs w:val="24"/>
        </w:rPr>
        <w:t xml:space="preserve">sa a munkáltató egyedi </w:t>
      </w:r>
      <w:r w:rsidRPr="0028364C">
        <w:rPr>
          <w:rFonts w:ascii="Times New Roman" w:hAnsi="Times New Roman" w:cs="Times New Roman"/>
          <w:sz w:val="24"/>
          <w:szCs w:val="24"/>
        </w:rPr>
        <w:t xml:space="preserve">döntése, a munkáltató nem köteles célprémium kitűzésére. </w:t>
      </w:r>
    </w:p>
    <w:p w14:paraId="5BFA7AFE" w14:textId="213CEA41" w:rsidR="00E134E5" w:rsidRPr="0028364C" w:rsidRDefault="00E134E5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Munkaszerződésben, egyéb megállapodásban célprémium javadalomra kötelezettség nem vállalható. Semmilyen teljesítményjavadalmazásra nem vállalható kötelezettség és nem képezheti részét a jövőbeli javadalmazási terveknek. A célprémium mértéke maximum az éves alapbér </w:t>
      </w:r>
      <w:r w:rsidR="00931343">
        <w:rPr>
          <w:rFonts w:ascii="Times New Roman" w:hAnsi="Times New Roman" w:cs="Times New Roman"/>
          <w:sz w:val="24"/>
          <w:szCs w:val="24"/>
        </w:rPr>
        <w:t>10</w:t>
      </w:r>
      <w:r w:rsidRPr="0028364C">
        <w:rPr>
          <w:rFonts w:ascii="Times New Roman" w:hAnsi="Times New Roman" w:cs="Times New Roman"/>
          <w:sz w:val="24"/>
          <w:szCs w:val="24"/>
        </w:rPr>
        <w:t>0 %-a lehet.</w:t>
      </w:r>
    </w:p>
    <w:p w14:paraId="06B977CF" w14:textId="77777777" w:rsidR="009019E6" w:rsidRPr="0028364C" w:rsidRDefault="009019E6" w:rsidP="00C73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5EA3D" w14:textId="77777777" w:rsidR="009019E6" w:rsidRPr="0028364C" w:rsidRDefault="008A0781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Célprémiumra az a munkavállaló jogosult, aki az alábbi kritériumok mindegyikének megfelel:</w:t>
      </w:r>
    </w:p>
    <w:p w14:paraId="7367D5D0" w14:textId="77777777" w:rsidR="008A0781" w:rsidRPr="0028364C" w:rsidRDefault="006C5074" w:rsidP="009019E6">
      <w:pPr>
        <w:numPr>
          <w:ilvl w:val="0"/>
          <w:numId w:val="14"/>
        </w:numPr>
        <w:spacing w:before="100" w:beforeAutospacing="1"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rendelkezik a</w:t>
      </w:r>
      <w:r w:rsidR="008A0781" w:rsidRPr="0028364C">
        <w:rPr>
          <w:rFonts w:ascii="Times New Roman" w:hAnsi="Times New Roman" w:cs="Times New Roman"/>
          <w:sz w:val="24"/>
          <w:szCs w:val="24"/>
        </w:rPr>
        <w:t xml:space="preserve">z adott évre </w:t>
      </w:r>
      <w:r w:rsidRPr="0028364C">
        <w:rPr>
          <w:rFonts w:ascii="Times New Roman" w:hAnsi="Times New Roman" w:cs="Times New Roman"/>
          <w:sz w:val="24"/>
          <w:szCs w:val="24"/>
        </w:rPr>
        <w:t>érvényes célkitűzéssel</w:t>
      </w:r>
      <w:r w:rsidR="008A0781" w:rsidRPr="0028364C">
        <w:rPr>
          <w:rFonts w:ascii="Times New Roman" w:hAnsi="Times New Roman" w:cs="Times New Roman"/>
          <w:sz w:val="24"/>
          <w:szCs w:val="24"/>
        </w:rPr>
        <w:t>,</w:t>
      </w:r>
    </w:p>
    <w:p w14:paraId="71827A7B" w14:textId="5AB62AD3" w:rsidR="008A0781" w:rsidRPr="0028364C" w:rsidRDefault="006C5074" w:rsidP="004870B4">
      <w:pPr>
        <w:numPr>
          <w:ilvl w:val="0"/>
          <w:numId w:val="14"/>
        </w:numPr>
        <w:spacing w:before="100" w:beforeAutospacing="1"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</w:t>
      </w:r>
      <w:r w:rsidR="008A0781" w:rsidRPr="0028364C">
        <w:rPr>
          <w:rFonts w:ascii="Times New Roman" w:hAnsi="Times New Roman" w:cs="Times New Roman"/>
          <w:sz w:val="24"/>
          <w:szCs w:val="24"/>
        </w:rPr>
        <w:t>z értékelt időszaknak legalább a</w:t>
      </w:r>
      <w:r w:rsidR="00DD2064" w:rsidRPr="0028364C">
        <w:rPr>
          <w:rFonts w:ascii="Times New Roman" w:hAnsi="Times New Roman" w:cs="Times New Roman"/>
          <w:sz w:val="24"/>
          <w:szCs w:val="24"/>
        </w:rPr>
        <w:t>z</w:t>
      </w:r>
      <w:r w:rsidR="008A0781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hAnsi="Times New Roman" w:cs="Times New Roman"/>
          <w:sz w:val="24"/>
          <w:szCs w:val="24"/>
        </w:rPr>
        <w:t xml:space="preserve">50%-át </w:t>
      </w:r>
      <w:r w:rsidR="008A0781" w:rsidRPr="0028364C">
        <w:rPr>
          <w:rFonts w:ascii="Times New Roman" w:hAnsi="Times New Roman" w:cs="Times New Roman"/>
          <w:sz w:val="24"/>
          <w:szCs w:val="24"/>
        </w:rPr>
        <w:t>aktív munkaviszonyban (30 napot meghaladó tartós távollét pl. betegség, GYED, GYES, nem számít ak</w:t>
      </w:r>
      <w:r w:rsidR="00E134E5" w:rsidRPr="0028364C">
        <w:rPr>
          <w:rFonts w:ascii="Times New Roman" w:hAnsi="Times New Roman" w:cs="Times New Roman"/>
          <w:sz w:val="24"/>
          <w:szCs w:val="24"/>
        </w:rPr>
        <w:t>tív munkaviszonynak) töltötte</w:t>
      </w:r>
    </w:p>
    <w:p w14:paraId="0ACBF3B8" w14:textId="77777777" w:rsidR="00A5292E" w:rsidRPr="0028364C" w:rsidRDefault="008A0781" w:rsidP="009019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célprémium kifizetése készpénzben történik.</w:t>
      </w:r>
      <w:bookmarkStart w:id="27" w:name="_Toc462477614"/>
    </w:p>
    <w:p w14:paraId="406E5602" w14:textId="77777777" w:rsidR="009E09C1" w:rsidRDefault="009E09C1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518AC5" w14:textId="77777777" w:rsidR="008A0781" w:rsidRPr="0028364C" w:rsidRDefault="008A0781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64C">
        <w:rPr>
          <w:rFonts w:ascii="Times New Roman" w:hAnsi="Times New Roman" w:cs="Times New Roman"/>
          <w:sz w:val="24"/>
          <w:szCs w:val="24"/>
          <w:u w:val="single"/>
        </w:rPr>
        <w:t>Jutalom</w:t>
      </w:r>
      <w:bookmarkEnd w:id="27"/>
    </w:p>
    <w:p w14:paraId="4C4598DC" w14:textId="77777777" w:rsidR="00371669" w:rsidRPr="0028364C" w:rsidRDefault="00371669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6A3302" w14:textId="36988D31" w:rsidR="005C2A2F" w:rsidRPr="0028364C" w:rsidRDefault="008A0781" w:rsidP="005C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Jutalom a kitűzött egyéni teljesítmény értékelése alapján, vagy a munkáltató diszkrecionális döntése szerint, a munka utólagos elismeréseként</w:t>
      </w:r>
      <w:r w:rsidR="005C2A2F" w:rsidRPr="0028364C">
        <w:rPr>
          <w:rFonts w:ascii="Times New Roman" w:hAnsi="Times New Roman" w:cs="Times New Roman"/>
          <w:sz w:val="24"/>
          <w:szCs w:val="24"/>
        </w:rPr>
        <w:t xml:space="preserve"> adható. </w:t>
      </w:r>
    </w:p>
    <w:p w14:paraId="2505FBFA" w14:textId="2B0CCEE7" w:rsidR="008A0781" w:rsidRPr="0028364C" w:rsidRDefault="008A0781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0674E" w14:textId="77777777" w:rsidR="00A5292E" w:rsidRPr="0028364C" w:rsidRDefault="008A0781" w:rsidP="009019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jutalom kifizetése készpénzben történik.</w:t>
      </w:r>
      <w:bookmarkStart w:id="28" w:name="_Toc462477615"/>
    </w:p>
    <w:p w14:paraId="63E65D85" w14:textId="77777777" w:rsidR="009E09C1" w:rsidRDefault="009E09C1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A81219" w14:textId="77777777" w:rsidR="008A0781" w:rsidRPr="0028364C" w:rsidRDefault="008A0781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64C">
        <w:rPr>
          <w:rFonts w:ascii="Times New Roman" w:hAnsi="Times New Roman" w:cs="Times New Roman"/>
          <w:sz w:val="24"/>
          <w:szCs w:val="24"/>
          <w:u w:val="single"/>
        </w:rPr>
        <w:t>Jutalék</w:t>
      </w:r>
      <w:bookmarkEnd w:id="28"/>
    </w:p>
    <w:p w14:paraId="17CB1F2D" w14:textId="77777777" w:rsidR="00371669" w:rsidRPr="0028364C" w:rsidRDefault="00371669" w:rsidP="0090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F4897F" w14:textId="7630E7E9" w:rsidR="005A7570" w:rsidRDefault="00E134E5" w:rsidP="00DE6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D9642C">
        <w:rPr>
          <w:rFonts w:ascii="Times New Roman" w:hAnsi="Times New Roman" w:cs="Times New Roman"/>
          <w:sz w:val="24"/>
          <w:szCs w:val="24"/>
        </w:rPr>
        <w:t>Bank</w:t>
      </w:r>
      <w:r w:rsidR="00D9642C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6C5074" w:rsidRPr="0028364C">
        <w:rPr>
          <w:rFonts w:ascii="Times New Roman" w:hAnsi="Times New Roman" w:cs="Times New Roman"/>
          <w:sz w:val="24"/>
          <w:szCs w:val="24"/>
        </w:rPr>
        <w:t xml:space="preserve">külön jutalékszabályzattal rendelkezik – </w:t>
      </w:r>
      <w:r w:rsidR="00954CB8" w:rsidRPr="0028364C">
        <w:rPr>
          <w:rFonts w:ascii="Times New Roman" w:hAnsi="Times New Roman" w:cs="Times New Roman"/>
          <w:b/>
          <w:sz w:val="24"/>
          <w:szCs w:val="24"/>
        </w:rPr>
        <w:t>Duna Kavics</w:t>
      </w:r>
      <w:r w:rsidR="00954CB8" w:rsidRPr="0028364C">
        <w:rPr>
          <w:rFonts w:ascii="Times New Roman" w:hAnsi="Times New Roman" w:cs="Times New Roman"/>
          <w:sz w:val="24"/>
          <w:szCs w:val="24"/>
        </w:rPr>
        <w:t xml:space="preserve"> egyéni érdekeltségi ösztönző rendszer </w:t>
      </w:r>
      <w:r w:rsidR="006C5074" w:rsidRPr="0028364C">
        <w:rPr>
          <w:rFonts w:ascii="Times New Roman" w:hAnsi="Times New Roman" w:cs="Times New Roman"/>
          <w:b/>
          <w:sz w:val="24"/>
          <w:szCs w:val="24"/>
        </w:rPr>
        <w:t>ügyvezetői utasítás</w:t>
      </w:r>
      <w:r w:rsidR="00D9642C">
        <w:rPr>
          <w:rFonts w:ascii="Times New Roman" w:hAnsi="Times New Roman" w:cs="Times New Roman"/>
          <w:sz w:val="24"/>
          <w:szCs w:val="24"/>
        </w:rPr>
        <w:t xml:space="preserve">, </w:t>
      </w:r>
      <w:r w:rsidR="006C5074" w:rsidRPr="0028364C">
        <w:rPr>
          <w:rFonts w:ascii="Times New Roman" w:hAnsi="Times New Roman" w:cs="Times New Roman"/>
          <w:sz w:val="24"/>
          <w:szCs w:val="24"/>
        </w:rPr>
        <w:t>mely elválaszthatatlan része a Javadalmazási Politikának</w:t>
      </w:r>
      <w:r w:rsidR="00812587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740E56" w:rsidRPr="0028364C">
        <w:rPr>
          <w:rFonts w:ascii="Times New Roman" w:hAnsi="Times New Roman" w:cs="Times New Roman"/>
          <w:b/>
          <w:sz w:val="24"/>
          <w:szCs w:val="24"/>
        </w:rPr>
        <w:t>(</w:t>
      </w:r>
      <w:r w:rsidR="00764575">
        <w:rPr>
          <w:rFonts w:ascii="Times New Roman" w:hAnsi="Times New Roman" w:cs="Times New Roman"/>
          <w:b/>
          <w:sz w:val="24"/>
          <w:szCs w:val="24"/>
        </w:rPr>
        <w:t>4</w:t>
      </w:r>
      <w:r w:rsidR="00812587" w:rsidRPr="0028364C">
        <w:rPr>
          <w:rFonts w:ascii="Times New Roman" w:hAnsi="Times New Roman" w:cs="Times New Roman"/>
          <w:b/>
          <w:sz w:val="24"/>
          <w:szCs w:val="24"/>
        </w:rPr>
        <w:t>. sz. melléklet)</w:t>
      </w:r>
      <w:r w:rsidR="006C5074" w:rsidRPr="002836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D48083" w14:textId="77777777" w:rsidR="00D9642C" w:rsidRPr="00DE606F" w:rsidRDefault="00D9642C" w:rsidP="00DE6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8D83E" w14:textId="2C83F1D0" w:rsidR="004D6CF4" w:rsidRDefault="004D6CF4" w:rsidP="00E9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kerül sor a teljesítményjavadalmazás kifizetésekor az instrumentumokban történő kifizetésre vonatkozó követelmény alkalmazására, amíg a Bank megfelel az alábbi feltételnek:</w:t>
      </w:r>
    </w:p>
    <w:p w14:paraId="2CBC8284" w14:textId="77777777" w:rsidR="004D6CF4" w:rsidRDefault="004D6CF4" w:rsidP="00E9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Bank </w:t>
      </w:r>
      <w:r w:rsidRPr="00E92F8A">
        <w:rPr>
          <w:rFonts w:ascii="Times New Roman" w:hAnsi="Times New Roman" w:cs="Times New Roman"/>
          <w:sz w:val="24"/>
          <w:szCs w:val="24"/>
        </w:rPr>
        <w:t xml:space="preserve">nem minősül az </w:t>
      </w:r>
      <w:hyperlink r:id="rId11" w:tgtFrame="_blank" w:history="1">
        <w:r w:rsidRPr="00E92F8A">
          <w:rPr>
            <w:rStyle w:val="Hiperhivatkozs"/>
            <w:rFonts w:ascii="Times New Roman" w:hAnsi="Times New Roman"/>
            <w:sz w:val="24"/>
            <w:szCs w:val="24"/>
            <w:u w:val="none"/>
          </w:rPr>
          <w:t>575/2013/EU rendelet 4. cikk (1) bekezdés 146. pontjában</w:t>
        </w:r>
      </w:hyperlink>
      <w:r w:rsidRPr="00E92F8A">
        <w:rPr>
          <w:rFonts w:ascii="Times New Roman" w:hAnsi="Times New Roman" w:cs="Times New Roman"/>
          <w:sz w:val="24"/>
          <w:szCs w:val="24"/>
        </w:rPr>
        <w:t xml:space="preserve"> meghatározott nagy méretű hitelintézetnek, és az egyedi alapon számított, előző négy év végi mérlegfőösszegének átlaga nem haladja meg az ezerötszáz-milliárd forintot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E7BA13" w14:textId="77777777" w:rsidR="004D6CF4" w:rsidRDefault="004D6CF4" w:rsidP="00E92F8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2F8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A folyó pénzügyi évet közvetlenül megelőző négyéves időszak átlagos eszközértékének a kiszámításakor a négy megelőző pénzügyi év végén kimutatott ezen értékek egyszerű átlagát kell kiszámítania.</w:t>
      </w:r>
    </w:p>
    <w:p w14:paraId="6EF06F2D" w14:textId="77777777" w:rsidR="00007D9B" w:rsidRDefault="00007D9B" w:rsidP="00E92F8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B7175C3" w14:textId="77777777" w:rsidR="00007D9B" w:rsidRDefault="00007D9B" w:rsidP="00007D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5DBDE5" w14:textId="77777777" w:rsidR="00007D9B" w:rsidRPr="00E92F8A" w:rsidRDefault="00007D9B" w:rsidP="00007D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E92F8A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Megtartási bónusz</w:t>
      </w:r>
    </w:p>
    <w:p w14:paraId="3B789336" w14:textId="77777777" w:rsidR="00007D9B" w:rsidRPr="00E92F8A" w:rsidRDefault="00007D9B" w:rsidP="00007D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2F8A">
        <w:rPr>
          <w:rStyle w:val="markedcontent"/>
          <w:rFonts w:ascii="Times New Roman" w:hAnsi="Times New Roman" w:cs="Times New Roman"/>
          <w:sz w:val="24"/>
          <w:szCs w:val="24"/>
        </w:rPr>
        <w:t xml:space="preserve"> MNB ajánlásnak és jogszabályi előírásoknak megfelelően adható.</w:t>
      </w:r>
    </w:p>
    <w:p w14:paraId="5E024063" w14:textId="77777777" w:rsidR="00007D9B" w:rsidRPr="00007D9B" w:rsidRDefault="00007D9B" w:rsidP="00007D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ADDBAD" w14:textId="77777777" w:rsidR="00007D9B" w:rsidRPr="00E92F8A" w:rsidRDefault="00007D9B" w:rsidP="00007D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C101E0" w14:textId="77777777" w:rsidR="0040168E" w:rsidRDefault="0040168E" w:rsidP="00007D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14:paraId="44D151F1" w14:textId="61C90C41" w:rsidR="00007D9B" w:rsidRDefault="00007D9B" w:rsidP="00007D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E92F8A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Végkielégítés </w:t>
      </w:r>
    </w:p>
    <w:p w14:paraId="4E41733E" w14:textId="77777777" w:rsidR="00007D9B" w:rsidRPr="00C94161" w:rsidRDefault="00007D9B" w:rsidP="00007D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161">
        <w:rPr>
          <w:rStyle w:val="markedcontent"/>
          <w:rFonts w:ascii="Times New Roman" w:hAnsi="Times New Roman" w:cs="Times New Roman"/>
          <w:sz w:val="24"/>
          <w:szCs w:val="24"/>
        </w:rPr>
        <w:t>MNB ajánlásnak és jogszabályi előírásoknak megfelelően adható.</w:t>
      </w:r>
    </w:p>
    <w:p w14:paraId="53786EDA" w14:textId="77777777" w:rsidR="00007D9B" w:rsidRPr="00E92F8A" w:rsidRDefault="00007D9B" w:rsidP="00007D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14:paraId="2D415914" w14:textId="77777777" w:rsidR="00007D9B" w:rsidRPr="00E92F8A" w:rsidRDefault="00007D9B" w:rsidP="00007D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14:paraId="3F031587" w14:textId="78E7F5C6" w:rsidR="00007D9B" w:rsidRDefault="00007D9B" w:rsidP="00007D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E92F8A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Szerződés megszűnése után teljesített egyéb kifizetése </w:t>
      </w:r>
    </w:p>
    <w:p w14:paraId="4B2FC750" w14:textId="77777777" w:rsidR="00007D9B" w:rsidRPr="00C94161" w:rsidRDefault="00007D9B" w:rsidP="00007D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161">
        <w:rPr>
          <w:rStyle w:val="markedcontent"/>
          <w:rFonts w:ascii="Times New Roman" w:hAnsi="Times New Roman" w:cs="Times New Roman"/>
          <w:sz w:val="24"/>
          <w:szCs w:val="24"/>
        </w:rPr>
        <w:t>MNB ajánlásnak és jogszabályi előírásoknak megfelelően adható.</w:t>
      </w:r>
    </w:p>
    <w:p w14:paraId="3FEEE764" w14:textId="77777777" w:rsidR="00007D9B" w:rsidRPr="00E92F8A" w:rsidRDefault="00007D9B" w:rsidP="00007D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14:paraId="28BA3AE2" w14:textId="77777777" w:rsidR="00007D9B" w:rsidRDefault="00007D9B" w:rsidP="00E92F8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409A012" w14:textId="0DE15C46" w:rsidR="00DA0B75" w:rsidRPr="0028364C" w:rsidRDefault="00DA0B75" w:rsidP="009019E6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28364C">
        <w:rPr>
          <w:rFonts w:ascii="Times New Roman" w:hAnsi="Times New Roman" w:cs="Times New Roman"/>
          <w:b/>
          <w:sz w:val="24"/>
          <w:szCs w:val="24"/>
        </w:rPr>
        <w:t>Az alapjavadalmazás és a teljesítményjavadalmazás aránya</w:t>
      </w:r>
    </w:p>
    <w:p w14:paraId="704EB4EB" w14:textId="77777777" w:rsidR="00B5501F" w:rsidRPr="0028364C" w:rsidRDefault="00B5501F" w:rsidP="00DA0B7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67F882B" w14:textId="77777777" w:rsidR="00A5292E" w:rsidRPr="0028364C" w:rsidRDefault="00DA0B75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teljesítményjavadalmazás aránya a Javadalmazási Politika hatálya alá tartozó egyetlen személy esetén sem haladhatja meg az alapjavadalmazás 100%-át.</w:t>
      </w:r>
    </w:p>
    <w:p w14:paraId="290FA4A1" w14:textId="77777777" w:rsidR="00820149" w:rsidRDefault="00820149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6F991A" w14:textId="4E27F545" w:rsidR="00820149" w:rsidRDefault="00820149" w:rsidP="0082014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egyes szerepkörökhöz kapcsolódó teljesítményjavadalmazás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hAnsi="Times New Roman" w:cs="Times New Roman"/>
          <w:sz w:val="24"/>
          <w:szCs w:val="24"/>
        </w:rPr>
        <w:t>maximális aránya:</w:t>
      </w:r>
    </w:p>
    <w:p w14:paraId="64515302" w14:textId="77777777" w:rsidR="00820149" w:rsidRPr="0028364C" w:rsidRDefault="00820149" w:rsidP="0082014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EA6864" w14:textId="77777777" w:rsidR="00820149" w:rsidRPr="0028364C" w:rsidRDefault="00820149" w:rsidP="0082014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1418"/>
      </w:tblGrid>
      <w:tr w:rsidR="00820149" w:rsidRPr="0028364C" w14:paraId="54953006" w14:textId="77777777" w:rsidTr="00820149">
        <w:trPr>
          <w:trHeight w:val="366"/>
          <w:jc w:val="center"/>
        </w:trPr>
        <w:tc>
          <w:tcPr>
            <w:tcW w:w="4961" w:type="dxa"/>
            <w:shd w:val="clear" w:color="auto" w:fill="BFBFBF" w:themeFill="background1" w:themeFillShade="BF"/>
          </w:tcPr>
          <w:p w14:paraId="21B3970D" w14:textId="77777777" w:rsidR="00820149" w:rsidRPr="0028364C" w:rsidRDefault="00820149" w:rsidP="0082014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4C">
              <w:rPr>
                <w:rFonts w:ascii="Times New Roman" w:hAnsi="Times New Roman" w:cs="Times New Roman"/>
                <w:b/>
                <w:sz w:val="24"/>
                <w:szCs w:val="24"/>
              </w:rPr>
              <w:t>Kategória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1B69595" w14:textId="77777777" w:rsidR="00820149" w:rsidRPr="0028364C" w:rsidRDefault="00820149" w:rsidP="0082014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4C">
              <w:rPr>
                <w:rFonts w:ascii="Times New Roman" w:hAnsi="Times New Roman" w:cs="Times New Roman"/>
                <w:b/>
                <w:sz w:val="24"/>
                <w:szCs w:val="24"/>
              </w:rPr>
              <w:t>Arány</w:t>
            </w:r>
          </w:p>
        </w:tc>
      </w:tr>
      <w:tr w:rsidR="00820149" w:rsidRPr="0028364C" w14:paraId="0A869B14" w14:textId="77777777" w:rsidTr="00820149">
        <w:trPr>
          <w:jc w:val="center"/>
        </w:trPr>
        <w:tc>
          <w:tcPr>
            <w:tcW w:w="4961" w:type="dxa"/>
          </w:tcPr>
          <w:p w14:paraId="7A60272D" w14:textId="77777777" w:rsidR="00820149" w:rsidRPr="0028364C" w:rsidRDefault="00820149" w:rsidP="00820149">
            <w:pPr>
              <w:pStyle w:val="Listaszerbekezds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4C">
              <w:rPr>
                <w:rFonts w:ascii="Times New Roman" w:hAnsi="Times New Roman" w:cs="Times New Roman"/>
                <w:sz w:val="24"/>
                <w:szCs w:val="24"/>
              </w:rPr>
              <w:t>Vezető állású és vezető beosztású munkavállalók</w:t>
            </w:r>
          </w:p>
        </w:tc>
        <w:tc>
          <w:tcPr>
            <w:tcW w:w="1418" w:type="dxa"/>
          </w:tcPr>
          <w:p w14:paraId="55CBE7C0" w14:textId="6DF941B6" w:rsidR="00820149" w:rsidRPr="0028364C" w:rsidRDefault="00820149" w:rsidP="0082014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364C">
              <w:rPr>
                <w:rFonts w:ascii="Times New Roman" w:hAnsi="Times New Roman" w:cs="Times New Roman"/>
                <w:sz w:val="24"/>
                <w:szCs w:val="24"/>
              </w:rPr>
              <w:t>2/12-ed</w:t>
            </w:r>
          </w:p>
        </w:tc>
      </w:tr>
      <w:tr w:rsidR="00820149" w:rsidRPr="0028364C" w14:paraId="4B1DD528" w14:textId="77777777" w:rsidTr="00820149">
        <w:trPr>
          <w:jc w:val="center"/>
        </w:trPr>
        <w:tc>
          <w:tcPr>
            <w:tcW w:w="4961" w:type="dxa"/>
          </w:tcPr>
          <w:p w14:paraId="68F7F813" w14:textId="77777777" w:rsidR="00820149" w:rsidRPr="0028364C" w:rsidRDefault="00820149" w:rsidP="00820149">
            <w:pPr>
              <w:pStyle w:val="Listaszerbekezds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4C">
              <w:rPr>
                <w:rFonts w:ascii="Times New Roman" w:hAnsi="Times New Roman" w:cs="Times New Roman"/>
                <w:sz w:val="24"/>
                <w:szCs w:val="24"/>
              </w:rPr>
              <w:t>Értékesítést végző beosztott munkavállalók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(Duna kavics rendszer hatálya alá tartozó munkavállalók)</w:t>
            </w:r>
          </w:p>
        </w:tc>
        <w:tc>
          <w:tcPr>
            <w:tcW w:w="1418" w:type="dxa"/>
          </w:tcPr>
          <w:p w14:paraId="0BF4D862" w14:textId="77777777" w:rsidR="00820149" w:rsidRPr="0028364C" w:rsidRDefault="00820149" w:rsidP="0082014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4C">
              <w:rPr>
                <w:rFonts w:ascii="Times New Roman" w:hAnsi="Times New Roman" w:cs="Times New Roman"/>
                <w:sz w:val="24"/>
                <w:szCs w:val="24"/>
              </w:rPr>
              <w:t>12/12-ed</w:t>
            </w:r>
          </w:p>
        </w:tc>
      </w:tr>
      <w:tr w:rsidR="00820149" w:rsidRPr="0028364C" w14:paraId="1DD962FA" w14:textId="77777777" w:rsidTr="00820149">
        <w:trPr>
          <w:jc w:val="center"/>
        </w:trPr>
        <w:tc>
          <w:tcPr>
            <w:tcW w:w="4961" w:type="dxa"/>
          </w:tcPr>
          <w:p w14:paraId="52874A27" w14:textId="77777777" w:rsidR="00820149" w:rsidRPr="0028364C" w:rsidRDefault="00820149" w:rsidP="00820149">
            <w:pPr>
              <w:pStyle w:val="Listaszerbekezds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4C">
              <w:rPr>
                <w:rFonts w:ascii="Times New Roman" w:hAnsi="Times New Roman" w:cs="Times New Roman"/>
                <w:sz w:val="24"/>
                <w:szCs w:val="24"/>
              </w:rPr>
              <w:t xml:space="preserve">Értékesítést </w:t>
            </w:r>
            <w:r w:rsidRPr="002836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nem</w:t>
            </w:r>
            <w:r w:rsidRPr="0028364C">
              <w:rPr>
                <w:rFonts w:ascii="Times New Roman" w:hAnsi="Times New Roman" w:cs="Times New Roman"/>
                <w:sz w:val="24"/>
                <w:szCs w:val="24"/>
              </w:rPr>
              <w:t xml:space="preserve"> végző beosztott munkavállalók</w:t>
            </w:r>
          </w:p>
        </w:tc>
        <w:tc>
          <w:tcPr>
            <w:tcW w:w="1418" w:type="dxa"/>
          </w:tcPr>
          <w:p w14:paraId="2B34A637" w14:textId="0E5AE7AB" w:rsidR="00820149" w:rsidRPr="0028364C" w:rsidRDefault="00820149" w:rsidP="0082014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64C">
              <w:rPr>
                <w:rFonts w:ascii="Times New Roman" w:hAnsi="Times New Roman" w:cs="Times New Roman"/>
                <w:sz w:val="24"/>
                <w:szCs w:val="24"/>
              </w:rPr>
              <w:t>/12-ed</w:t>
            </w:r>
          </w:p>
        </w:tc>
      </w:tr>
    </w:tbl>
    <w:p w14:paraId="4E170603" w14:textId="77777777" w:rsidR="00EA7860" w:rsidRPr="00B40543" w:rsidRDefault="00EA7860" w:rsidP="009412DA">
      <w:pPr>
        <w:rPr>
          <w:rFonts w:ascii="Times New Roman" w:hAnsi="Times New Roman" w:cs="Times New Roman"/>
          <w:sz w:val="24"/>
          <w:szCs w:val="24"/>
        </w:rPr>
      </w:pPr>
    </w:p>
    <w:p w14:paraId="262A18C9" w14:textId="77777777" w:rsidR="0057437D" w:rsidRDefault="005E4C00" w:rsidP="009019E6">
      <w:pPr>
        <w:pStyle w:val="Listaszerbekezds"/>
        <w:numPr>
          <w:ilvl w:val="0"/>
          <w:numId w:val="1"/>
        </w:numPr>
        <w:spacing w:after="240"/>
        <w:ind w:left="284" w:hanging="284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9" w:name="_Toc109047098"/>
      <w:r w:rsidRPr="0028364C">
        <w:rPr>
          <w:rFonts w:ascii="Times New Roman" w:hAnsi="Times New Roman" w:cs="Times New Roman"/>
          <w:b/>
          <w:sz w:val="28"/>
          <w:szCs w:val="28"/>
        </w:rPr>
        <w:t>Teljesítményértékelés</w:t>
      </w:r>
      <w:r w:rsidR="004E45E9" w:rsidRPr="0028364C">
        <w:rPr>
          <w:rFonts w:ascii="Times New Roman" w:hAnsi="Times New Roman" w:cs="Times New Roman"/>
          <w:b/>
          <w:sz w:val="28"/>
          <w:szCs w:val="28"/>
        </w:rPr>
        <w:t>i és célkitűzési rendszer</w:t>
      </w:r>
      <w:bookmarkEnd w:id="29"/>
    </w:p>
    <w:p w14:paraId="1402B690" w14:textId="77777777" w:rsidR="00E71B6E" w:rsidRDefault="00E71B6E" w:rsidP="00E92F8A">
      <w:pPr>
        <w:pStyle w:val="Listaszerbekezds"/>
        <w:spacing w:after="240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C5A01C5" w14:textId="45FD9B6A" w:rsidR="00E71B6E" w:rsidRPr="00E92F8A" w:rsidRDefault="00E71B6E" w:rsidP="00E92F8A">
      <w:pPr>
        <w:spacing w:after="240"/>
        <w:outlineLvl w:val="0"/>
        <w:rPr>
          <w:rFonts w:ascii="Times New Roman" w:hAnsi="Times New Roman" w:cs="Times New Roman"/>
          <w:sz w:val="24"/>
          <w:szCs w:val="24"/>
        </w:rPr>
      </w:pPr>
      <w:bookmarkStart w:id="30" w:name="_Toc109047099"/>
      <w:r w:rsidRPr="00E92F8A">
        <w:rPr>
          <w:rFonts w:ascii="Times New Roman" w:hAnsi="Times New Roman" w:cs="Times New Roman"/>
          <w:b/>
          <w:sz w:val="24"/>
          <w:szCs w:val="24"/>
        </w:rPr>
        <w:t>Bónuszkeret meghatározása</w:t>
      </w:r>
      <w:bookmarkEnd w:id="30"/>
      <w:r w:rsidRPr="00E92F8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8059EE0" w14:textId="7ED89681" w:rsidR="009019E6" w:rsidRDefault="00D850D9" w:rsidP="0040168E">
      <w:pPr>
        <w:pStyle w:val="Listaszerbekezds"/>
        <w:spacing w:after="240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bookmarkStart w:id="31" w:name="_Toc109047100"/>
      <w:r w:rsidRPr="00E92F8A">
        <w:rPr>
          <w:rFonts w:ascii="Times New Roman" w:hAnsi="Times New Roman" w:cs="Times New Roman"/>
          <w:sz w:val="24"/>
          <w:szCs w:val="24"/>
        </w:rPr>
        <w:t>A Bank bónuszkeretként a Bank munkavállalóinak 2 havi bruttó alapbérének összegét és az üzleti tervben jóváhagyott jutalékrendszer keretösszegét határozza meg.</w:t>
      </w:r>
      <w:bookmarkEnd w:id="31"/>
    </w:p>
    <w:p w14:paraId="5612D876" w14:textId="77777777" w:rsidR="0040168E" w:rsidRPr="0040168E" w:rsidRDefault="0040168E" w:rsidP="0040168E">
      <w:pPr>
        <w:pStyle w:val="Listaszerbekezds"/>
        <w:spacing w:after="240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14:paraId="4AACD8A2" w14:textId="77777777" w:rsidR="007D0980" w:rsidRPr="0028364C" w:rsidRDefault="004E45E9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ösztönzési rendszer működésének alapja a személyi hatálya alá tartozó munkatársak éves teljesítményének, előre írásban meghatározott célok teljesítésének, felettes által, dokumentáltan elvégzett értékelése.</w:t>
      </w:r>
    </w:p>
    <w:p w14:paraId="63FF8FD9" w14:textId="77777777" w:rsidR="007D0980" w:rsidRPr="0028364C" w:rsidRDefault="007D0980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E63656" w14:textId="0E6E7593" w:rsidR="00BD3C62" w:rsidRPr="0028364C" w:rsidRDefault="00BD3C62" w:rsidP="009019E6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64C">
        <w:rPr>
          <w:rFonts w:ascii="Times New Roman" w:hAnsi="Times New Roman" w:cs="Times New Roman"/>
          <w:b/>
          <w:sz w:val="24"/>
          <w:szCs w:val="24"/>
          <w:u w:val="single"/>
        </w:rPr>
        <w:t>Célkitűzés</w:t>
      </w:r>
    </w:p>
    <w:p w14:paraId="088E955D" w14:textId="77777777" w:rsidR="00BD3C62" w:rsidRPr="0028364C" w:rsidRDefault="00BD3C62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77FAEF" w14:textId="251A009F" w:rsidR="00264B02" w:rsidRPr="0028364C" w:rsidRDefault="00264B02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teljesítmény értékelés</w:t>
      </w:r>
      <w:r w:rsidR="00EE3EC3" w:rsidRPr="0028364C">
        <w:rPr>
          <w:rFonts w:ascii="Times New Roman" w:hAnsi="Times New Roman" w:cs="Times New Roman"/>
          <w:sz w:val="24"/>
          <w:szCs w:val="24"/>
        </w:rPr>
        <w:t>i rendszer</w:t>
      </w:r>
      <w:r w:rsidRPr="0028364C">
        <w:rPr>
          <w:rFonts w:ascii="Times New Roman" w:hAnsi="Times New Roman" w:cs="Times New Roman"/>
          <w:sz w:val="24"/>
          <w:szCs w:val="24"/>
        </w:rPr>
        <w:t xml:space="preserve"> célkitűzéseit az első negyed évben kell elkészíteni, jóváhagyni és a munkavállalókkal megismertetni.</w:t>
      </w:r>
    </w:p>
    <w:p w14:paraId="2689BC2D" w14:textId="44C9543B" w:rsidR="00264B02" w:rsidRPr="0028364C" w:rsidRDefault="00264B02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A7FC42" w14:textId="2DEE0800" w:rsidR="00264B02" w:rsidRPr="0028364C" w:rsidRDefault="00264B02" w:rsidP="00264B02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ügyvezetők tekintetében a célkitűzés és az értékelés az Igazgatóság, a rendszer személyi hatálya alá tartozó többi munkatárs tekintetében pedig közvetlen felettes vezetője és az őt felügyelő ügyvezető feladata.</w:t>
      </w:r>
    </w:p>
    <w:p w14:paraId="1FB5BB8C" w14:textId="77777777" w:rsidR="00264B02" w:rsidRPr="0028364C" w:rsidRDefault="00264B02" w:rsidP="00264B02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832AA1" w14:textId="2C06FB9D" w:rsidR="004F3B84" w:rsidRPr="0028364C" w:rsidRDefault="00264B02" w:rsidP="00264B02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Az objektív célkitűzéseket az objektív mutatók alapján kell elkészíteni. A mutatókat </w:t>
      </w:r>
      <w:r w:rsidR="008E0E37" w:rsidRPr="0028364C">
        <w:rPr>
          <w:rFonts w:ascii="Times New Roman" w:hAnsi="Times New Roman" w:cs="Times New Roman"/>
          <w:sz w:val="24"/>
          <w:szCs w:val="24"/>
        </w:rPr>
        <w:t xml:space="preserve">február utolsó munkanapjáig </w:t>
      </w:r>
      <w:r w:rsidRPr="0028364C">
        <w:rPr>
          <w:rFonts w:ascii="Times New Roman" w:hAnsi="Times New Roman" w:cs="Times New Roman"/>
          <w:sz w:val="24"/>
          <w:szCs w:val="24"/>
        </w:rPr>
        <w:t>a Kontrolling és Tőkemenedzsment szakterület készíti el, melyet a HR Osztály terjeszt az ügyvezetés elé elfogadásra</w:t>
      </w:r>
      <w:r w:rsidR="00810040" w:rsidRPr="0028364C">
        <w:rPr>
          <w:rFonts w:ascii="Times New Roman" w:hAnsi="Times New Roman" w:cs="Times New Roman"/>
          <w:sz w:val="24"/>
          <w:szCs w:val="24"/>
        </w:rPr>
        <w:t xml:space="preserve"> a tárgyév márciusának 10. munkanapjáig</w:t>
      </w:r>
      <w:r w:rsidR="008E0E37" w:rsidRPr="0028364C">
        <w:rPr>
          <w:rFonts w:ascii="Times New Roman" w:hAnsi="Times New Roman" w:cs="Times New Roman"/>
          <w:sz w:val="24"/>
          <w:szCs w:val="24"/>
        </w:rPr>
        <w:t>.</w:t>
      </w:r>
      <w:r w:rsidR="004F3B84" w:rsidRPr="0028364C">
        <w:rPr>
          <w:rFonts w:ascii="Times New Roman" w:hAnsi="Times New Roman" w:cs="Times New Roman"/>
          <w:sz w:val="24"/>
          <w:szCs w:val="24"/>
        </w:rPr>
        <w:t xml:space="preserve"> Az ügyvezetés jóváhagyását követően az objektív mutatók mixét az Igazgatóságnak és a Felügyelő Bizottságnak egyaránt el kell fogadnia. Az elfogadtatást úgy kell intézni, hogy az a munkavállalók március végéig történő tájékoztatását lehetővé tegye. </w:t>
      </w:r>
    </w:p>
    <w:p w14:paraId="06DEE011" w14:textId="77777777" w:rsidR="00264B02" w:rsidRPr="0028364C" w:rsidRDefault="00264B02" w:rsidP="00264B02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4E653B" w14:textId="5746F1F8" w:rsidR="00264B02" w:rsidRPr="0028364C" w:rsidRDefault="00BD3C62" w:rsidP="00264B02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Az első negyed év végéig </w:t>
      </w:r>
      <w:r w:rsidR="00810040" w:rsidRPr="0028364C">
        <w:rPr>
          <w:rFonts w:ascii="Times New Roman" w:hAnsi="Times New Roman" w:cs="Times New Roman"/>
          <w:sz w:val="24"/>
          <w:szCs w:val="24"/>
        </w:rPr>
        <w:t xml:space="preserve">(március hó utolsó munkanapjáig) </w:t>
      </w:r>
      <w:r w:rsidR="00264B02"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Pr="0028364C">
        <w:rPr>
          <w:rFonts w:ascii="Times New Roman" w:hAnsi="Times New Roman" w:cs="Times New Roman"/>
          <w:sz w:val="24"/>
          <w:szCs w:val="24"/>
        </w:rPr>
        <w:t xml:space="preserve">tárgyévi </w:t>
      </w:r>
      <w:r w:rsidR="00264B02" w:rsidRPr="0028364C">
        <w:rPr>
          <w:rFonts w:ascii="Times New Roman" w:hAnsi="Times New Roman" w:cs="Times New Roman"/>
          <w:sz w:val="24"/>
          <w:szCs w:val="24"/>
        </w:rPr>
        <w:t>célkitűzések dolgozókkal történő ismertetése</w:t>
      </w:r>
      <w:r w:rsidR="004F3B84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C466C7">
        <w:rPr>
          <w:rFonts w:ascii="Times New Roman" w:hAnsi="Times New Roman" w:cs="Times New Roman"/>
          <w:sz w:val="24"/>
          <w:szCs w:val="24"/>
        </w:rPr>
        <w:t>a</w:t>
      </w:r>
      <w:r w:rsidR="00443088">
        <w:rPr>
          <w:rFonts w:ascii="Times New Roman" w:hAnsi="Times New Roman" w:cs="Times New Roman"/>
          <w:sz w:val="24"/>
          <w:szCs w:val="24"/>
        </w:rPr>
        <w:t xml:space="preserve"> TÉR </w:t>
      </w:r>
      <w:r w:rsidR="00C466C7">
        <w:rPr>
          <w:rFonts w:ascii="Times New Roman" w:hAnsi="Times New Roman" w:cs="Times New Roman"/>
          <w:sz w:val="24"/>
          <w:szCs w:val="24"/>
        </w:rPr>
        <w:t>lapok megküldésével</w:t>
      </w:r>
      <w:r w:rsidR="00443088">
        <w:rPr>
          <w:rFonts w:ascii="Times New Roman" w:hAnsi="Times New Roman" w:cs="Times New Roman"/>
          <w:sz w:val="24"/>
          <w:szCs w:val="24"/>
        </w:rPr>
        <w:t xml:space="preserve"> történik</w:t>
      </w:r>
      <w:r w:rsidR="00424CD8">
        <w:rPr>
          <w:rFonts w:ascii="Times New Roman" w:hAnsi="Times New Roman" w:cs="Times New Roman"/>
          <w:sz w:val="24"/>
          <w:szCs w:val="24"/>
        </w:rPr>
        <w:t xml:space="preserve"> úgy, hogy az értékelő lapok minden érintett számára </w:t>
      </w:r>
      <w:r w:rsidR="00E13012">
        <w:rPr>
          <w:rFonts w:ascii="Times New Roman" w:hAnsi="Times New Roman" w:cs="Times New Roman"/>
          <w:sz w:val="24"/>
          <w:szCs w:val="24"/>
        </w:rPr>
        <w:t>hozzáférhetőek.</w:t>
      </w:r>
    </w:p>
    <w:p w14:paraId="0BA41076" w14:textId="77777777" w:rsidR="00BD3C62" w:rsidRPr="0028364C" w:rsidRDefault="00BD3C62" w:rsidP="00264B02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0BB981" w14:textId="420B55A5" w:rsidR="00BD3C62" w:rsidRPr="0028364C" w:rsidRDefault="00BD3C62" w:rsidP="00264B02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64C">
        <w:rPr>
          <w:rFonts w:ascii="Times New Roman" w:hAnsi="Times New Roman" w:cs="Times New Roman"/>
          <w:b/>
          <w:sz w:val="24"/>
          <w:szCs w:val="24"/>
          <w:u w:val="single"/>
        </w:rPr>
        <w:t>Teljesítményértékelés</w:t>
      </w:r>
    </w:p>
    <w:p w14:paraId="1E050A30" w14:textId="1E6DF280" w:rsidR="0014188D" w:rsidRPr="0028364C" w:rsidRDefault="0014188D" w:rsidP="001418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teljesítményértékelés </w:t>
      </w:r>
      <w:r w:rsidR="00AD44FF">
        <w:rPr>
          <w:rFonts w:ascii="Times New Roman" w:hAnsi="Times New Roman" w:cs="Times New Roman"/>
          <w:sz w:val="24"/>
          <w:szCs w:val="24"/>
        </w:rPr>
        <w:t>szubjek</w:t>
      </w:r>
      <w:r w:rsidR="004D56D6">
        <w:rPr>
          <w:rFonts w:ascii="Times New Roman" w:hAnsi="Times New Roman" w:cs="Times New Roman"/>
          <w:sz w:val="24"/>
          <w:szCs w:val="24"/>
        </w:rPr>
        <w:t>t</w:t>
      </w:r>
      <w:r w:rsidR="00AD44FF">
        <w:rPr>
          <w:rFonts w:ascii="Times New Roman" w:hAnsi="Times New Roman" w:cs="Times New Roman"/>
          <w:sz w:val="24"/>
          <w:szCs w:val="24"/>
        </w:rPr>
        <w:t xml:space="preserve">ív szempontjainak </w:t>
      </w:r>
      <w:r w:rsidRPr="0028364C">
        <w:rPr>
          <w:rFonts w:ascii="Times New Roman" w:hAnsi="Times New Roman" w:cs="Times New Roman"/>
          <w:sz w:val="24"/>
          <w:szCs w:val="24"/>
        </w:rPr>
        <w:t>egyénenkénti közzététele</w:t>
      </w:r>
      <w:r w:rsidR="00343DC9" w:rsidRPr="0028364C">
        <w:rPr>
          <w:rFonts w:ascii="Times New Roman" w:hAnsi="Times New Roman" w:cs="Times New Roman"/>
          <w:sz w:val="24"/>
          <w:szCs w:val="24"/>
        </w:rPr>
        <w:t>,</w:t>
      </w:r>
      <w:r w:rsidR="00C758DA" w:rsidRPr="0028364C">
        <w:rPr>
          <w:rFonts w:ascii="Times New Roman" w:hAnsi="Times New Roman" w:cs="Times New Roman"/>
          <w:sz w:val="24"/>
          <w:szCs w:val="24"/>
        </w:rPr>
        <w:t xml:space="preserve"> a mérleg elfogadó közgyűlést megelőzően kell, hogy megtörténjen</w:t>
      </w:r>
      <w:r w:rsidR="00547B22" w:rsidRPr="0028364C">
        <w:rPr>
          <w:rFonts w:ascii="Times New Roman" w:hAnsi="Times New Roman" w:cs="Times New Roman"/>
          <w:sz w:val="24"/>
          <w:szCs w:val="24"/>
        </w:rPr>
        <w:t xml:space="preserve"> tárgyév márciusának utolsó munkana</w:t>
      </w:r>
      <w:r w:rsidR="00C95665">
        <w:rPr>
          <w:rFonts w:ascii="Times New Roman" w:hAnsi="Times New Roman" w:cs="Times New Roman"/>
          <w:sz w:val="24"/>
          <w:szCs w:val="24"/>
        </w:rPr>
        <w:t>p</w:t>
      </w:r>
      <w:r w:rsidR="00547B22" w:rsidRPr="0028364C">
        <w:rPr>
          <w:rFonts w:ascii="Times New Roman" w:hAnsi="Times New Roman" w:cs="Times New Roman"/>
          <w:sz w:val="24"/>
          <w:szCs w:val="24"/>
        </w:rPr>
        <w:t>jáig</w:t>
      </w:r>
      <w:r w:rsidR="00C758DA" w:rsidRPr="0028364C">
        <w:rPr>
          <w:rFonts w:ascii="Times New Roman" w:hAnsi="Times New Roman" w:cs="Times New Roman"/>
          <w:sz w:val="24"/>
          <w:szCs w:val="24"/>
        </w:rPr>
        <w:t xml:space="preserve">, </w:t>
      </w:r>
      <w:r w:rsidRPr="0028364C">
        <w:rPr>
          <w:rFonts w:ascii="Times New Roman" w:hAnsi="Times New Roman" w:cs="Times New Roman"/>
          <w:sz w:val="24"/>
          <w:szCs w:val="24"/>
        </w:rPr>
        <w:t>személyes elbeszélgetés keretében</w:t>
      </w:r>
      <w:r w:rsidR="00E13012">
        <w:rPr>
          <w:rFonts w:ascii="Times New Roman" w:hAnsi="Times New Roman" w:cs="Times New Roman"/>
          <w:sz w:val="24"/>
          <w:szCs w:val="24"/>
        </w:rPr>
        <w:t>.</w:t>
      </w:r>
    </w:p>
    <w:p w14:paraId="47E1766E" w14:textId="03435F97" w:rsidR="00BD3C62" w:rsidRPr="0028364C" w:rsidRDefault="00BD3C62" w:rsidP="00264B02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5A4B">
        <w:rPr>
          <w:rFonts w:ascii="Times New Roman" w:hAnsi="Times New Roman" w:cs="Times New Roman"/>
          <w:sz w:val="24"/>
          <w:szCs w:val="24"/>
        </w:rPr>
        <w:t xml:space="preserve">Az </w:t>
      </w:r>
      <w:r w:rsidR="00C758DA" w:rsidRPr="009E5A4B">
        <w:rPr>
          <w:rFonts w:ascii="Times New Roman" w:hAnsi="Times New Roman" w:cs="Times New Roman"/>
          <w:sz w:val="24"/>
          <w:szCs w:val="24"/>
        </w:rPr>
        <w:t xml:space="preserve">értékelés objektív mutatóinak kiszámítását, az előző évi számok, </w:t>
      </w:r>
      <w:r w:rsidRPr="009E5A4B">
        <w:rPr>
          <w:rFonts w:ascii="Times New Roman" w:hAnsi="Times New Roman" w:cs="Times New Roman"/>
          <w:sz w:val="24"/>
          <w:szCs w:val="24"/>
        </w:rPr>
        <w:t xml:space="preserve">első negyedév utolsó munkanapján </w:t>
      </w:r>
      <w:r w:rsidR="00C758DA" w:rsidRPr="009E5A4B">
        <w:rPr>
          <w:rFonts w:ascii="Times New Roman" w:hAnsi="Times New Roman" w:cs="Times New Roman"/>
          <w:sz w:val="24"/>
          <w:szCs w:val="24"/>
        </w:rPr>
        <w:t xml:space="preserve">ismert, </w:t>
      </w:r>
      <w:r w:rsidRPr="009E5A4B">
        <w:rPr>
          <w:rFonts w:ascii="Times New Roman" w:hAnsi="Times New Roman" w:cs="Times New Roman"/>
          <w:sz w:val="24"/>
          <w:szCs w:val="24"/>
        </w:rPr>
        <w:t xml:space="preserve">előzetes, nem </w:t>
      </w:r>
      <w:proofErr w:type="spellStart"/>
      <w:r w:rsidRPr="009E5A4B">
        <w:rPr>
          <w:rFonts w:ascii="Times New Roman" w:hAnsi="Times New Roman" w:cs="Times New Roman"/>
          <w:sz w:val="24"/>
          <w:szCs w:val="24"/>
        </w:rPr>
        <w:t>auditált</w:t>
      </w:r>
      <w:proofErr w:type="spellEnd"/>
      <w:r w:rsidRPr="009E5A4B">
        <w:rPr>
          <w:rFonts w:ascii="Times New Roman" w:hAnsi="Times New Roman" w:cs="Times New Roman"/>
          <w:sz w:val="24"/>
          <w:szCs w:val="24"/>
        </w:rPr>
        <w:t xml:space="preserve"> </w:t>
      </w:r>
      <w:r w:rsidR="00C758DA" w:rsidRPr="009E5A4B">
        <w:rPr>
          <w:rFonts w:ascii="Times New Roman" w:hAnsi="Times New Roman" w:cs="Times New Roman"/>
          <w:sz w:val="24"/>
          <w:szCs w:val="24"/>
        </w:rPr>
        <w:t>állapota</w:t>
      </w:r>
      <w:r w:rsidRPr="009E5A4B">
        <w:rPr>
          <w:rFonts w:ascii="Times New Roman" w:hAnsi="Times New Roman" w:cs="Times New Roman"/>
          <w:sz w:val="24"/>
          <w:szCs w:val="24"/>
        </w:rPr>
        <w:t xml:space="preserve"> alapján kell elvégezni</w:t>
      </w:r>
      <w:r w:rsidR="00547B22" w:rsidRPr="009E5A4B">
        <w:rPr>
          <w:rFonts w:ascii="Times New Roman" w:hAnsi="Times New Roman" w:cs="Times New Roman"/>
          <w:sz w:val="24"/>
          <w:szCs w:val="24"/>
        </w:rPr>
        <w:t xml:space="preserve"> a tárgyév áprilisának 15. munkanapjáig.</w:t>
      </w:r>
      <w:r w:rsidR="00547B22" w:rsidRPr="00283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00896" w14:textId="77777777" w:rsidR="00BD3C62" w:rsidRPr="0028364C" w:rsidRDefault="00BD3C62" w:rsidP="00264B02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EBE8AA" w14:textId="4AB6D216" w:rsidR="00B5501F" w:rsidRDefault="00922DF6" w:rsidP="0028364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teljesítményértékelésen alapuló mozgó bér kifizethetőségéről </w:t>
      </w:r>
      <w:r w:rsidR="00277D8D" w:rsidRPr="0028364C">
        <w:rPr>
          <w:rFonts w:ascii="Times New Roman" w:hAnsi="Times New Roman" w:cs="Times New Roman"/>
          <w:sz w:val="24"/>
          <w:szCs w:val="24"/>
        </w:rPr>
        <w:t xml:space="preserve">az ügyvezetés javaslata alapján </w:t>
      </w:r>
      <w:r w:rsidRPr="0028364C">
        <w:rPr>
          <w:rFonts w:ascii="Times New Roman" w:hAnsi="Times New Roman" w:cs="Times New Roman"/>
          <w:sz w:val="24"/>
          <w:szCs w:val="24"/>
        </w:rPr>
        <w:t>a Bank Igazgatósága a Közgyűlést megelőző Felügyelő Bizottsággal összevont alapon tartott ülésén hoz határozatot, mely ülésen az Igazgatóság döntését a Felügyelő Bizottság véleményezi</w:t>
      </w:r>
      <w:r w:rsidR="00676CE3">
        <w:rPr>
          <w:rFonts w:ascii="Times New Roman" w:hAnsi="Times New Roman" w:cs="Times New Roman"/>
          <w:sz w:val="24"/>
          <w:szCs w:val="24"/>
        </w:rPr>
        <w:t xml:space="preserve"> </w:t>
      </w:r>
      <w:r w:rsidR="008B07F9">
        <w:rPr>
          <w:rFonts w:ascii="Times New Roman" w:hAnsi="Times New Roman" w:cs="Times New Roman"/>
          <w:sz w:val="24"/>
          <w:szCs w:val="24"/>
        </w:rPr>
        <w:t>(felügyeleti jogát gyakorolja a</w:t>
      </w:r>
      <w:r w:rsidR="008B07F9" w:rsidRPr="0010114D">
        <w:rPr>
          <w:rFonts w:ascii="Times New Roman" w:hAnsi="Times New Roman" w:cs="Times New Roman"/>
          <w:sz w:val="24"/>
          <w:szCs w:val="24"/>
        </w:rPr>
        <w:t xml:space="preserve"> bels</w:t>
      </w:r>
      <w:r w:rsidR="008B07F9" w:rsidRPr="004B1D01">
        <w:rPr>
          <w:rFonts w:ascii="Times New Roman" w:hAnsi="Times New Roman" w:cs="Times New Roman" w:hint="eastAsia"/>
          <w:sz w:val="24"/>
          <w:szCs w:val="24"/>
        </w:rPr>
        <w:t>ő</w:t>
      </w:r>
      <w:r w:rsidR="008B07F9" w:rsidRPr="0010114D">
        <w:rPr>
          <w:rFonts w:ascii="Times New Roman" w:hAnsi="Times New Roman" w:cs="Times New Roman"/>
          <w:sz w:val="24"/>
          <w:szCs w:val="24"/>
        </w:rPr>
        <w:t xml:space="preserve"> kontroll feladatk</w:t>
      </w:r>
      <w:r w:rsidR="008B07F9" w:rsidRPr="0010114D">
        <w:rPr>
          <w:rFonts w:ascii="Times New Roman" w:hAnsi="Times New Roman" w:cs="Times New Roman" w:hint="eastAsia"/>
          <w:sz w:val="24"/>
          <w:szCs w:val="24"/>
        </w:rPr>
        <w:t>ö</w:t>
      </w:r>
      <w:r w:rsidR="008B07F9" w:rsidRPr="0010114D">
        <w:rPr>
          <w:rFonts w:ascii="Times New Roman" w:hAnsi="Times New Roman" w:cs="Times New Roman"/>
          <w:sz w:val="24"/>
          <w:szCs w:val="24"/>
        </w:rPr>
        <w:t>rt ell</w:t>
      </w:r>
      <w:r w:rsidR="008B07F9" w:rsidRPr="0010114D">
        <w:rPr>
          <w:rFonts w:ascii="Times New Roman" w:hAnsi="Times New Roman" w:cs="Times New Roman" w:hint="eastAsia"/>
          <w:sz w:val="24"/>
          <w:szCs w:val="24"/>
        </w:rPr>
        <w:t>á</w:t>
      </w:r>
      <w:r w:rsidR="008B07F9" w:rsidRPr="0010114D">
        <w:rPr>
          <w:rFonts w:ascii="Times New Roman" w:hAnsi="Times New Roman" w:cs="Times New Roman"/>
          <w:sz w:val="24"/>
          <w:szCs w:val="24"/>
        </w:rPr>
        <w:t>t</w:t>
      </w:r>
      <w:r w:rsidR="008B07F9" w:rsidRPr="0010114D">
        <w:rPr>
          <w:rFonts w:ascii="Times New Roman" w:hAnsi="Times New Roman" w:cs="Times New Roman" w:hint="eastAsia"/>
          <w:sz w:val="24"/>
          <w:szCs w:val="24"/>
        </w:rPr>
        <w:t>ó</w:t>
      </w:r>
      <w:r w:rsidR="008B07F9" w:rsidRPr="0010114D">
        <w:rPr>
          <w:rFonts w:ascii="Times New Roman" w:hAnsi="Times New Roman" w:cs="Times New Roman"/>
          <w:sz w:val="24"/>
          <w:szCs w:val="24"/>
        </w:rPr>
        <w:t xml:space="preserve"> munkav</w:t>
      </w:r>
      <w:r w:rsidR="008B07F9" w:rsidRPr="0010114D">
        <w:rPr>
          <w:rFonts w:ascii="Times New Roman" w:hAnsi="Times New Roman" w:cs="Times New Roman" w:hint="eastAsia"/>
          <w:sz w:val="24"/>
          <w:szCs w:val="24"/>
        </w:rPr>
        <w:t>á</w:t>
      </w:r>
      <w:r w:rsidR="008B07F9" w:rsidRPr="0010114D">
        <w:rPr>
          <w:rFonts w:ascii="Times New Roman" w:hAnsi="Times New Roman" w:cs="Times New Roman"/>
          <w:sz w:val="24"/>
          <w:szCs w:val="24"/>
        </w:rPr>
        <w:t>llal</w:t>
      </w:r>
      <w:r w:rsidR="008B07F9" w:rsidRPr="0010114D">
        <w:rPr>
          <w:rFonts w:ascii="Times New Roman" w:hAnsi="Times New Roman" w:cs="Times New Roman" w:hint="eastAsia"/>
          <w:sz w:val="24"/>
          <w:szCs w:val="24"/>
        </w:rPr>
        <w:t>ó</w:t>
      </w:r>
      <w:r w:rsidR="008B07F9" w:rsidRPr="0010114D">
        <w:rPr>
          <w:rFonts w:ascii="Times New Roman" w:hAnsi="Times New Roman" w:cs="Times New Roman"/>
          <w:sz w:val="24"/>
          <w:szCs w:val="24"/>
        </w:rPr>
        <w:t>k</w:t>
      </w:r>
      <w:r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8B07F9">
        <w:rPr>
          <w:rFonts w:ascii="Times New Roman" w:hAnsi="Times New Roman" w:cs="Times New Roman"/>
          <w:sz w:val="24"/>
          <w:szCs w:val="24"/>
        </w:rPr>
        <w:t>javadalmazása tekintetében)</w:t>
      </w:r>
      <w:r w:rsidR="00676CE3">
        <w:rPr>
          <w:rFonts w:ascii="Times New Roman" w:hAnsi="Times New Roman" w:cs="Times New Roman"/>
          <w:sz w:val="24"/>
          <w:szCs w:val="24"/>
        </w:rPr>
        <w:t>.</w:t>
      </w:r>
      <w:r w:rsidR="008B07F9">
        <w:rPr>
          <w:rFonts w:ascii="Times New Roman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hAnsi="Times New Roman" w:cs="Times New Roman"/>
          <w:sz w:val="24"/>
          <w:szCs w:val="24"/>
        </w:rPr>
        <w:t xml:space="preserve">A mozgó bér kifizetésére a Bank évi rendes Közgyűlését követő első havi bérszámfejtéssel kerül sor. </w:t>
      </w:r>
    </w:p>
    <w:p w14:paraId="3E7D20F4" w14:textId="49F82121" w:rsidR="009D2711" w:rsidRPr="00DE606F" w:rsidRDefault="00251B47" w:rsidP="00DE606F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0114D">
        <w:rPr>
          <w:rFonts w:ascii="Times New Roman" w:hAnsi="Times New Roman" w:cs="Times New Roman"/>
          <w:sz w:val="24"/>
          <w:szCs w:val="24"/>
        </w:rPr>
        <w:t>A bels</w:t>
      </w:r>
      <w:r w:rsidRPr="004B1D01">
        <w:rPr>
          <w:rFonts w:ascii="Times New Roman" w:hAnsi="Times New Roman" w:cs="Times New Roman" w:hint="eastAsia"/>
          <w:sz w:val="24"/>
          <w:szCs w:val="24"/>
        </w:rPr>
        <w:t>ő</w:t>
      </w:r>
      <w:r w:rsidRPr="0010114D">
        <w:rPr>
          <w:rFonts w:ascii="Times New Roman" w:hAnsi="Times New Roman" w:cs="Times New Roman"/>
          <w:sz w:val="24"/>
          <w:szCs w:val="24"/>
        </w:rPr>
        <w:t xml:space="preserve"> kontroll feladatk</w:t>
      </w:r>
      <w:r w:rsidRPr="0010114D">
        <w:rPr>
          <w:rFonts w:ascii="Times New Roman" w:hAnsi="Times New Roman" w:cs="Times New Roman" w:hint="eastAsia"/>
          <w:sz w:val="24"/>
          <w:szCs w:val="24"/>
        </w:rPr>
        <w:t>ö</w:t>
      </w:r>
      <w:r w:rsidRPr="0010114D">
        <w:rPr>
          <w:rFonts w:ascii="Times New Roman" w:hAnsi="Times New Roman" w:cs="Times New Roman"/>
          <w:sz w:val="24"/>
          <w:szCs w:val="24"/>
        </w:rPr>
        <w:t>rt ell</w:t>
      </w:r>
      <w:r w:rsidRPr="0010114D">
        <w:rPr>
          <w:rFonts w:ascii="Times New Roman" w:hAnsi="Times New Roman" w:cs="Times New Roman" w:hint="eastAsia"/>
          <w:sz w:val="24"/>
          <w:szCs w:val="24"/>
        </w:rPr>
        <w:t>á</w:t>
      </w:r>
      <w:r w:rsidRPr="0010114D">
        <w:rPr>
          <w:rFonts w:ascii="Times New Roman" w:hAnsi="Times New Roman" w:cs="Times New Roman"/>
          <w:sz w:val="24"/>
          <w:szCs w:val="24"/>
        </w:rPr>
        <w:t>t</w:t>
      </w:r>
      <w:r w:rsidRPr="0010114D">
        <w:rPr>
          <w:rFonts w:ascii="Times New Roman" w:hAnsi="Times New Roman" w:cs="Times New Roman" w:hint="eastAsia"/>
          <w:sz w:val="24"/>
          <w:szCs w:val="24"/>
        </w:rPr>
        <w:t>ó</w:t>
      </w:r>
      <w:r w:rsidRPr="0010114D">
        <w:rPr>
          <w:rFonts w:ascii="Times New Roman" w:hAnsi="Times New Roman" w:cs="Times New Roman"/>
          <w:sz w:val="24"/>
          <w:szCs w:val="24"/>
        </w:rPr>
        <w:t xml:space="preserve"> munkav</w:t>
      </w:r>
      <w:r w:rsidRPr="0010114D">
        <w:rPr>
          <w:rFonts w:ascii="Times New Roman" w:hAnsi="Times New Roman" w:cs="Times New Roman" w:hint="eastAsia"/>
          <w:sz w:val="24"/>
          <w:szCs w:val="24"/>
        </w:rPr>
        <w:t>á</w:t>
      </w:r>
      <w:r w:rsidRPr="0010114D">
        <w:rPr>
          <w:rFonts w:ascii="Times New Roman" w:hAnsi="Times New Roman" w:cs="Times New Roman"/>
          <w:sz w:val="24"/>
          <w:szCs w:val="24"/>
        </w:rPr>
        <w:t>llal</w:t>
      </w:r>
      <w:r w:rsidRPr="0010114D">
        <w:rPr>
          <w:rFonts w:ascii="Times New Roman" w:hAnsi="Times New Roman" w:cs="Times New Roman" w:hint="eastAsia"/>
          <w:sz w:val="24"/>
          <w:szCs w:val="24"/>
        </w:rPr>
        <w:t>ó</w:t>
      </w:r>
      <w:r w:rsidRPr="0010114D">
        <w:rPr>
          <w:rFonts w:ascii="Times New Roman" w:hAnsi="Times New Roman" w:cs="Times New Roman"/>
          <w:sz w:val="24"/>
          <w:szCs w:val="24"/>
        </w:rPr>
        <w:t xml:space="preserve">k (Belső Ellenőrzési Szakterület, </w:t>
      </w:r>
      <w:proofErr w:type="spellStart"/>
      <w:r w:rsidRPr="0010114D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10114D">
        <w:rPr>
          <w:rFonts w:ascii="Times New Roman" w:hAnsi="Times New Roman" w:cs="Times New Roman"/>
          <w:sz w:val="24"/>
          <w:szCs w:val="24"/>
        </w:rPr>
        <w:t xml:space="preserve"> Osztály, Kockázatkezelési és </w:t>
      </w:r>
      <w:proofErr w:type="spellStart"/>
      <w:r w:rsidRPr="0010114D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Pr="0010114D">
        <w:rPr>
          <w:rFonts w:ascii="Times New Roman" w:hAnsi="Times New Roman" w:cs="Times New Roman"/>
          <w:sz w:val="24"/>
          <w:szCs w:val="24"/>
        </w:rPr>
        <w:t xml:space="preserve"> Szakterület) javadalmaz</w:t>
      </w:r>
      <w:r w:rsidRPr="0010114D">
        <w:rPr>
          <w:rFonts w:ascii="Times New Roman" w:hAnsi="Times New Roman" w:cs="Times New Roman" w:hint="eastAsia"/>
          <w:sz w:val="24"/>
          <w:szCs w:val="24"/>
        </w:rPr>
        <w:t>á</w:t>
      </w:r>
      <w:r w:rsidRPr="0010114D">
        <w:rPr>
          <w:rFonts w:ascii="Times New Roman" w:hAnsi="Times New Roman" w:cs="Times New Roman"/>
          <w:sz w:val="24"/>
          <w:szCs w:val="24"/>
        </w:rPr>
        <w:t>s</w:t>
      </w:r>
      <w:r w:rsidRPr="0010114D">
        <w:rPr>
          <w:rFonts w:ascii="Times New Roman" w:hAnsi="Times New Roman" w:cs="Times New Roman" w:hint="eastAsia"/>
          <w:sz w:val="24"/>
          <w:szCs w:val="24"/>
        </w:rPr>
        <w:t>á</w:t>
      </w:r>
      <w:r w:rsidRPr="0010114D">
        <w:rPr>
          <w:rFonts w:ascii="Times New Roman" w:hAnsi="Times New Roman" w:cs="Times New Roman"/>
          <w:sz w:val="24"/>
          <w:szCs w:val="24"/>
        </w:rPr>
        <w:t>t a Fel</w:t>
      </w:r>
      <w:r w:rsidRPr="0010114D">
        <w:rPr>
          <w:rFonts w:ascii="Times New Roman" w:hAnsi="Times New Roman" w:cs="Times New Roman" w:hint="eastAsia"/>
          <w:sz w:val="24"/>
          <w:szCs w:val="24"/>
        </w:rPr>
        <w:t>ü</w:t>
      </w:r>
      <w:r w:rsidRPr="0010114D">
        <w:rPr>
          <w:rFonts w:ascii="Times New Roman" w:hAnsi="Times New Roman" w:cs="Times New Roman"/>
          <w:sz w:val="24"/>
          <w:szCs w:val="24"/>
        </w:rPr>
        <w:t>gyel</w:t>
      </w:r>
      <w:r w:rsidRPr="0010114D">
        <w:rPr>
          <w:rFonts w:ascii="Times New Roman" w:hAnsi="Times New Roman" w:cs="Times New Roman" w:hint="eastAsia"/>
          <w:sz w:val="24"/>
          <w:szCs w:val="24"/>
        </w:rPr>
        <w:t>ő</w:t>
      </w:r>
      <w:r w:rsidRPr="0010114D">
        <w:rPr>
          <w:rFonts w:ascii="Times New Roman" w:hAnsi="Times New Roman" w:cs="Times New Roman"/>
          <w:sz w:val="24"/>
          <w:szCs w:val="24"/>
        </w:rPr>
        <w:t xml:space="preserve"> Bizotts</w:t>
      </w:r>
      <w:r w:rsidRPr="0010114D">
        <w:rPr>
          <w:rFonts w:ascii="Times New Roman" w:hAnsi="Times New Roman" w:cs="Times New Roman" w:hint="eastAsia"/>
          <w:sz w:val="24"/>
          <w:szCs w:val="24"/>
        </w:rPr>
        <w:t>á</w:t>
      </w:r>
      <w:r w:rsidRPr="0010114D">
        <w:rPr>
          <w:rFonts w:ascii="Times New Roman" w:hAnsi="Times New Roman" w:cs="Times New Roman"/>
          <w:sz w:val="24"/>
          <w:szCs w:val="24"/>
        </w:rPr>
        <w:t>g fel</w:t>
      </w:r>
      <w:r w:rsidRPr="0010114D">
        <w:rPr>
          <w:rFonts w:ascii="Times New Roman" w:hAnsi="Times New Roman" w:cs="Times New Roman" w:hint="eastAsia"/>
          <w:sz w:val="24"/>
          <w:szCs w:val="24"/>
        </w:rPr>
        <w:t>ü</w:t>
      </w:r>
      <w:r w:rsidRPr="0010114D">
        <w:rPr>
          <w:rFonts w:ascii="Times New Roman" w:hAnsi="Times New Roman" w:cs="Times New Roman"/>
          <w:sz w:val="24"/>
          <w:szCs w:val="24"/>
        </w:rPr>
        <w:t>gyeli.</w:t>
      </w:r>
    </w:p>
    <w:p w14:paraId="7F4975E8" w14:textId="77777777" w:rsidR="00B5501F" w:rsidRPr="0028364C" w:rsidRDefault="00EA66C9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0EE0">
        <w:rPr>
          <w:rFonts w:ascii="Times New Roman" w:hAnsi="Times New Roman" w:cs="Times New Roman"/>
          <w:sz w:val="24"/>
          <w:szCs w:val="24"/>
          <w:u w:val="single"/>
        </w:rPr>
        <w:lastRenderedPageBreak/>
        <w:t>A vezetői</w:t>
      </w:r>
      <w:r w:rsidR="00B5501F" w:rsidRPr="005C603E">
        <w:rPr>
          <w:rFonts w:ascii="Times New Roman" w:hAnsi="Times New Roman" w:cs="Times New Roman"/>
          <w:sz w:val="24"/>
          <w:szCs w:val="24"/>
          <w:u w:val="single"/>
        </w:rPr>
        <w:t xml:space="preserve"> ösztönzési rendszer elemei:</w:t>
      </w:r>
    </w:p>
    <w:p w14:paraId="403D2F4E" w14:textId="77777777" w:rsidR="00371669" w:rsidRPr="0028364C" w:rsidRDefault="00371669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9DACB8" w14:textId="2BD366B3" w:rsidR="00920C5D" w:rsidRDefault="004E45E9" w:rsidP="009E41C7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ösztönzési rendszer alapelvei szerint az egyéni ösztönzési lapok</w:t>
      </w:r>
      <w:r w:rsidR="00071EC4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071EC4" w:rsidRPr="0028364C">
        <w:rPr>
          <w:rFonts w:ascii="Times New Roman" w:hAnsi="Times New Roman" w:cs="Times New Roman"/>
          <w:i/>
          <w:sz w:val="24"/>
          <w:szCs w:val="24"/>
        </w:rPr>
        <w:t xml:space="preserve">(jelen szabályzat </w:t>
      </w:r>
      <w:r w:rsidR="00923AB4">
        <w:rPr>
          <w:rFonts w:ascii="Times New Roman" w:hAnsi="Times New Roman" w:cs="Times New Roman"/>
          <w:i/>
          <w:sz w:val="24"/>
          <w:szCs w:val="24"/>
        </w:rPr>
        <w:t>3</w:t>
      </w:r>
      <w:r w:rsidR="00071EC4" w:rsidRPr="0028364C">
        <w:rPr>
          <w:rFonts w:ascii="Times New Roman" w:hAnsi="Times New Roman" w:cs="Times New Roman"/>
          <w:i/>
          <w:sz w:val="24"/>
          <w:szCs w:val="24"/>
        </w:rPr>
        <w:t>.sz. melléklete)</w:t>
      </w:r>
      <w:r w:rsidRPr="0028364C">
        <w:rPr>
          <w:rFonts w:ascii="Times New Roman" w:hAnsi="Times New Roman" w:cs="Times New Roman"/>
          <w:sz w:val="24"/>
          <w:szCs w:val="24"/>
        </w:rPr>
        <w:t xml:space="preserve"> a rendszer hatálya alá tartozó személyek vonatkozásában </w:t>
      </w:r>
      <w:r w:rsidR="00E65AA9" w:rsidRPr="0028364C">
        <w:rPr>
          <w:rFonts w:ascii="Times New Roman" w:hAnsi="Times New Roman" w:cs="Times New Roman"/>
          <w:sz w:val="24"/>
          <w:szCs w:val="24"/>
        </w:rPr>
        <w:t>szervezeti egység</w:t>
      </w:r>
      <w:r w:rsidRPr="0028364C">
        <w:rPr>
          <w:rFonts w:ascii="Times New Roman" w:hAnsi="Times New Roman" w:cs="Times New Roman"/>
          <w:sz w:val="24"/>
          <w:szCs w:val="24"/>
        </w:rPr>
        <w:t xml:space="preserve"> szubjektív, egyéni szubjektív, illetve banki</w:t>
      </w:r>
      <w:r w:rsidR="00E65AA9" w:rsidRPr="0028364C">
        <w:rPr>
          <w:rFonts w:ascii="Times New Roman" w:hAnsi="Times New Roman" w:cs="Times New Roman"/>
          <w:sz w:val="24"/>
          <w:szCs w:val="24"/>
        </w:rPr>
        <w:t xml:space="preserve"> és szervezeti egység</w:t>
      </w:r>
      <w:r w:rsidRPr="0028364C">
        <w:rPr>
          <w:rFonts w:ascii="Times New Roman" w:hAnsi="Times New Roman" w:cs="Times New Roman"/>
          <w:sz w:val="24"/>
          <w:szCs w:val="24"/>
        </w:rPr>
        <w:t xml:space="preserve"> és egyéni objektív szempontokat tartalmaznak. A rendszer Banki </w:t>
      </w:r>
      <w:r w:rsidR="007D35FC" w:rsidRPr="0028364C">
        <w:rPr>
          <w:rFonts w:ascii="Times New Roman" w:hAnsi="Times New Roman" w:cs="Times New Roman"/>
          <w:sz w:val="24"/>
          <w:szCs w:val="24"/>
        </w:rPr>
        <w:t xml:space="preserve">és egyéni </w:t>
      </w:r>
      <w:r w:rsidRPr="0028364C">
        <w:rPr>
          <w:rFonts w:ascii="Times New Roman" w:hAnsi="Times New Roman" w:cs="Times New Roman"/>
          <w:sz w:val="24"/>
          <w:szCs w:val="24"/>
        </w:rPr>
        <w:t>szinten objektív</w:t>
      </w:r>
      <w:r w:rsidR="007D35FC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5E7603" w:rsidRPr="0028364C">
        <w:rPr>
          <w:rFonts w:ascii="Times New Roman" w:hAnsi="Times New Roman" w:cs="Times New Roman"/>
          <w:sz w:val="24"/>
          <w:szCs w:val="24"/>
        </w:rPr>
        <w:t xml:space="preserve">és szubjektív elemeken nyugszik. Az ügyvezetők esetén az értékelés kizárólag objektív szempontok alapján történik, az esetükben az objektív szempontok alapján elérhető maximális pontszám </w:t>
      </w:r>
      <w:r w:rsidR="00A76813">
        <w:rPr>
          <w:rFonts w:ascii="Times New Roman" w:hAnsi="Times New Roman" w:cs="Times New Roman"/>
          <w:sz w:val="24"/>
          <w:szCs w:val="24"/>
        </w:rPr>
        <w:t>1000</w:t>
      </w:r>
      <w:r w:rsidR="005E7603" w:rsidRPr="002836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891202" w14:textId="77777777" w:rsidR="00920C5D" w:rsidRDefault="00920C5D" w:rsidP="009E41C7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B26571" w14:textId="1C5C473E" w:rsidR="009E41C7" w:rsidRPr="00920C5D" w:rsidRDefault="005E7603" w:rsidP="009E41C7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értékesítést végző munkavállalók</w:t>
      </w:r>
      <w:r w:rsidR="009E41C7">
        <w:rPr>
          <w:rFonts w:ascii="Times New Roman" w:hAnsi="Times New Roman" w:cs="Times New Roman"/>
          <w:sz w:val="24"/>
          <w:szCs w:val="24"/>
        </w:rPr>
        <w:t xml:space="preserve"> </w:t>
      </w:r>
      <w:r w:rsidR="009E41C7" w:rsidRPr="0028364C">
        <w:rPr>
          <w:rFonts w:ascii="Times New Roman" w:hAnsi="Times New Roman" w:cs="Times New Roman"/>
          <w:sz w:val="24"/>
          <w:szCs w:val="24"/>
        </w:rPr>
        <w:t xml:space="preserve">esetében a mozgó bér kifizetése </w:t>
      </w:r>
      <w:r w:rsidR="009E41C7">
        <w:rPr>
          <w:rFonts w:ascii="Times New Roman" w:hAnsi="Times New Roman" w:cs="Times New Roman"/>
          <w:sz w:val="24"/>
          <w:szCs w:val="24"/>
        </w:rPr>
        <w:t xml:space="preserve">a Bank Duna kavics jutalék rendszere </w:t>
      </w:r>
      <w:r w:rsidR="009E41C7" w:rsidRPr="0028364C">
        <w:rPr>
          <w:rFonts w:ascii="Times New Roman" w:hAnsi="Times New Roman" w:cs="Times New Roman"/>
          <w:sz w:val="24"/>
          <w:szCs w:val="24"/>
        </w:rPr>
        <w:t xml:space="preserve">alapján történik, esetükben </w:t>
      </w:r>
      <w:r w:rsidR="00A52160">
        <w:rPr>
          <w:rFonts w:ascii="Times New Roman" w:hAnsi="Times New Roman" w:cs="Times New Roman"/>
          <w:sz w:val="24"/>
          <w:szCs w:val="24"/>
        </w:rPr>
        <w:t>egyéni</w:t>
      </w:r>
      <w:r w:rsidR="009E41C7" w:rsidRPr="0028364C">
        <w:rPr>
          <w:rFonts w:ascii="Times New Roman" w:hAnsi="Times New Roman" w:cs="Times New Roman"/>
          <w:sz w:val="24"/>
          <w:szCs w:val="24"/>
        </w:rPr>
        <w:t xml:space="preserve"> szubjektív </w:t>
      </w:r>
      <w:r w:rsidR="00A52160">
        <w:rPr>
          <w:rFonts w:ascii="Times New Roman" w:hAnsi="Times New Roman" w:cs="Times New Roman"/>
          <w:sz w:val="24"/>
          <w:szCs w:val="24"/>
        </w:rPr>
        <w:t xml:space="preserve">és objektív </w:t>
      </w:r>
      <w:r w:rsidR="009E41C7" w:rsidRPr="0028364C">
        <w:rPr>
          <w:rFonts w:ascii="Times New Roman" w:hAnsi="Times New Roman" w:cs="Times New Roman"/>
          <w:sz w:val="24"/>
          <w:szCs w:val="24"/>
        </w:rPr>
        <w:t xml:space="preserve"> szempontok (</w:t>
      </w:r>
      <w:r w:rsidR="008508C0">
        <w:rPr>
          <w:rFonts w:ascii="Times New Roman" w:hAnsi="Times New Roman" w:cs="Times New Roman"/>
          <w:sz w:val="24"/>
          <w:szCs w:val="24"/>
        </w:rPr>
        <w:t>4</w:t>
      </w:r>
      <w:r w:rsidR="009E41C7" w:rsidRPr="00A52160">
        <w:rPr>
          <w:rFonts w:ascii="Times New Roman" w:hAnsi="Times New Roman" w:cs="Times New Roman"/>
          <w:sz w:val="24"/>
          <w:szCs w:val="24"/>
        </w:rPr>
        <w:t>00 pontos maximum) alapján elvégzett minősítés</w:t>
      </w:r>
      <w:r w:rsidR="008508C0">
        <w:rPr>
          <w:rFonts w:ascii="Times New Roman" w:hAnsi="Times New Roman" w:cs="Times New Roman"/>
          <w:sz w:val="24"/>
          <w:szCs w:val="24"/>
        </w:rPr>
        <w:t>i rendszer működik.</w:t>
      </w:r>
      <w:r w:rsidR="009E41C7" w:rsidRPr="00920C5D">
        <w:rPr>
          <w:rFonts w:ascii="Times New Roman" w:hAnsi="Times New Roman" w:cs="Times New Roman"/>
          <w:sz w:val="24"/>
          <w:szCs w:val="24"/>
        </w:rPr>
        <w:t>.</w:t>
      </w:r>
    </w:p>
    <w:p w14:paraId="15A70348" w14:textId="1B25D2F8" w:rsidR="00920C5D" w:rsidRDefault="00920C5D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4C9E14" w14:textId="4497D391" w:rsidR="004E45E9" w:rsidRPr="00920C5D" w:rsidRDefault="009E41C7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0C5D">
        <w:rPr>
          <w:rFonts w:ascii="Times New Roman" w:hAnsi="Times New Roman" w:cs="Times New Roman"/>
          <w:sz w:val="24"/>
          <w:szCs w:val="24"/>
        </w:rPr>
        <w:t>Az</w:t>
      </w:r>
      <w:r w:rsidR="00F42EAB" w:rsidRPr="00920C5D">
        <w:rPr>
          <w:rFonts w:ascii="Times New Roman" w:hAnsi="Times New Roman" w:cs="Times New Roman"/>
          <w:sz w:val="24"/>
          <w:szCs w:val="24"/>
        </w:rPr>
        <w:t xml:space="preserve"> egyéni teljesítmény alapján ösztönzött munkatársak</w:t>
      </w:r>
      <w:r w:rsidR="00334554" w:rsidRPr="00920C5D">
        <w:rPr>
          <w:rFonts w:ascii="Times New Roman" w:hAnsi="Times New Roman" w:cs="Times New Roman"/>
          <w:sz w:val="24"/>
          <w:szCs w:val="24"/>
        </w:rPr>
        <w:t xml:space="preserve"> </w:t>
      </w:r>
      <w:r w:rsidR="00414A53" w:rsidRPr="00920C5D">
        <w:rPr>
          <w:rFonts w:ascii="Times New Roman" w:hAnsi="Times New Roman" w:cs="Times New Roman"/>
          <w:sz w:val="24"/>
          <w:szCs w:val="24"/>
        </w:rPr>
        <w:t xml:space="preserve">esetében a mozgó bér </w:t>
      </w:r>
      <w:r w:rsidR="005E7603" w:rsidRPr="00920C5D">
        <w:rPr>
          <w:rFonts w:ascii="Times New Roman" w:hAnsi="Times New Roman" w:cs="Times New Roman"/>
          <w:sz w:val="24"/>
          <w:szCs w:val="24"/>
        </w:rPr>
        <w:t xml:space="preserve">kifizetése a személyükre meghatározott </w:t>
      </w:r>
      <w:r w:rsidR="00A52160" w:rsidRPr="00920C5D">
        <w:rPr>
          <w:rFonts w:ascii="Times New Roman" w:hAnsi="Times New Roman" w:cs="Times New Roman"/>
          <w:sz w:val="24"/>
          <w:szCs w:val="24"/>
        </w:rPr>
        <w:t xml:space="preserve">szubjektív és </w:t>
      </w:r>
      <w:r w:rsidR="005E7603" w:rsidRPr="00920C5D">
        <w:rPr>
          <w:rFonts w:ascii="Times New Roman" w:hAnsi="Times New Roman" w:cs="Times New Roman"/>
          <w:sz w:val="24"/>
          <w:szCs w:val="24"/>
        </w:rPr>
        <w:t xml:space="preserve">objektív </w:t>
      </w:r>
      <w:r w:rsidR="00A52160" w:rsidRPr="00920C5D">
        <w:rPr>
          <w:rFonts w:ascii="Times New Roman" w:hAnsi="Times New Roman" w:cs="Times New Roman"/>
          <w:sz w:val="24"/>
          <w:szCs w:val="24"/>
        </w:rPr>
        <w:t xml:space="preserve">egyéni </w:t>
      </w:r>
      <w:r w:rsidR="005E7603" w:rsidRPr="00920C5D">
        <w:rPr>
          <w:rFonts w:ascii="Times New Roman" w:hAnsi="Times New Roman" w:cs="Times New Roman"/>
          <w:sz w:val="24"/>
          <w:szCs w:val="24"/>
        </w:rPr>
        <w:t>célkitűzések alapján történik</w:t>
      </w:r>
      <w:r w:rsidR="00A52160" w:rsidRPr="00920C5D">
        <w:rPr>
          <w:rFonts w:ascii="Times New Roman" w:hAnsi="Times New Roman" w:cs="Times New Roman"/>
          <w:sz w:val="24"/>
          <w:szCs w:val="24"/>
        </w:rPr>
        <w:t>.</w:t>
      </w:r>
      <w:r w:rsidR="00A52160" w:rsidRPr="00E92F8A">
        <w:rPr>
          <w:rFonts w:ascii="Times New Roman" w:hAnsi="Times New Roman" w:cs="Times New Roman"/>
          <w:sz w:val="24"/>
          <w:szCs w:val="24"/>
          <w:u w:val="single"/>
        </w:rPr>
        <w:t xml:space="preserve"> Minőségi mutatók</w:t>
      </w:r>
      <w:r w:rsidR="00A52160" w:rsidRPr="00E92F8A">
        <w:rPr>
          <w:rFonts w:ascii="Times New Roman" w:hAnsi="Times New Roman" w:cs="Times New Roman"/>
          <w:sz w:val="24"/>
          <w:szCs w:val="24"/>
        </w:rPr>
        <w:t xml:space="preserve"> (TÉR rendszer egyéni szubjektív, egyéni objektív szempontjai) 20%-os maximum értékkel számolandó az értékelés eredményének százalékos arányában, az objektív mutatók pedig 80%-os értékkel.</w:t>
      </w:r>
    </w:p>
    <w:p w14:paraId="44591778" w14:textId="77777777" w:rsidR="005E7603" w:rsidRPr="0028364C" w:rsidRDefault="005E7603" w:rsidP="004E45E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8E624E5" w14:textId="64394C45" w:rsidR="00B5501F" w:rsidRPr="0028364C" w:rsidRDefault="004E45E9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Az értékelési alapelvek figyelembe veszik a Javadalmazási Politikában meghatározott arányokat az objektív és a szubjektív értékelési szempontok között. Ennek megfelelően </w:t>
      </w:r>
      <w:r w:rsidR="00AC1A16" w:rsidRPr="0028364C">
        <w:rPr>
          <w:rFonts w:ascii="Times New Roman" w:hAnsi="Times New Roman" w:cs="Times New Roman"/>
          <w:sz w:val="24"/>
          <w:szCs w:val="24"/>
        </w:rPr>
        <w:t>egyéni</w:t>
      </w:r>
      <w:r w:rsidRPr="0028364C">
        <w:rPr>
          <w:rFonts w:ascii="Times New Roman" w:hAnsi="Times New Roman" w:cs="Times New Roman"/>
          <w:sz w:val="24"/>
          <w:szCs w:val="24"/>
        </w:rPr>
        <w:t xml:space="preserve"> szubjektív értékeléssel 300</w:t>
      </w:r>
      <w:r w:rsidR="00AC1A16" w:rsidRPr="0028364C">
        <w:rPr>
          <w:rFonts w:ascii="Times New Roman" w:hAnsi="Times New Roman" w:cs="Times New Roman"/>
          <w:sz w:val="24"/>
          <w:szCs w:val="24"/>
        </w:rPr>
        <w:t xml:space="preserve"> pont</w:t>
      </w:r>
      <w:r w:rsidRPr="0028364C">
        <w:rPr>
          <w:rFonts w:ascii="Times New Roman" w:hAnsi="Times New Roman" w:cs="Times New Roman"/>
          <w:sz w:val="24"/>
          <w:szCs w:val="24"/>
        </w:rPr>
        <w:t>, a</w:t>
      </w:r>
      <w:r w:rsidR="00AC1A16" w:rsidRPr="0028364C">
        <w:rPr>
          <w:rFonts w:ascii="Times New Roman" w:hAnsi="Times New Roman" w:cs="Times New Roman"/>
          <w:sz w:val="24"/>
          <w:szCs w:val="24"/>
        </w:rPr>
        <w:t xml:space="preserve"> banki</w:t>
      </w:r>
      <w:r w:rsidR="00414A53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920C5D">
        <w:rPr>
          <w:rFonts w:ascii="Times New Roman" w:hAnsi="Times New Roman" w:cs="Times New Roman"/>
          <w:sz w:val="24"/>
          <w:szCs w:val="24"/>
        </w:rPr>
        <w:t xml:space="preserve">és egyéni </w:t>
      </w:r>
      <w:r w:rsidR="00414A53" w:rsidRPr="0028364C">
        <w:rPr>
          <w:rFonts w:ascii="Times New Roman" w:hAnsi="Times New Roman" w:cs="Times New Roman"/>
          <w:sz w:val="24"/>
          <w:szCs w:val="24"/>
        </w:rPr>
        <w:t xml:space="preserve">objektívvel </w:t>
      </w:r>
      <w:r w:rsidR="00A76813">
        <w:rPr>
          <w:rFonts w:ascii="Times New Roman" w:hAnsi="Times New Roman" w:cs="Times New Roman"/>
          <w:sz w:val="24"/>
          <w:szCs w:val="24"/>
        </w:rPr>
        <w:t>1000</w:t>
      </w:r>
      <w:r w:rsidR="00A76813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hAnsi="Times New Roman" w:cs="Times New Roman"/>
          <w:sz w:val="24"/>
          <w:szCs w:val="24"/>
        </w:rPr>
        <w:t>pont</w:t>
      </w:r>
      <w:r w:rsidR="007D35FC" w:rsidRPr="0028364C">
        <w:rPr>
          <w:rFonts w:ascii="Times New Roman" w:hAnsi="Times New Roman" w:cs="Times New Roman"/>
          <w:sz w:val="24"/>
          <w:szCs w:val="24"/>
        </w:rPr>
        <w:t>, szervezeti szubjektív és objektívvel pedig 300 pont, összesen 1</w:t>
      </w:r>
      <w:r w:rsidR="0002639B">
        <w:rPr>
          <w:rFonts w:ascii="Times New Roman" w:hAnsi="Times New Roman" w:cs="Times New Roman"/>
          <w:sz w:val="24"/>
          <w:szCs w:val="24"/>
        </w:rPr>
        <w:t>6</w:t>
      </w:r>
      <w:r w:rsidR="007D35FC" w:rsidRPr="0028364C">
        <w:rPr>
          <w:rFonts w:ascii="Times New Roman" w:hAnsi="Times New Roman" w:cs="Times New Roman"/>
          <w:sz w:val="24"/>
          <w:szCs w:val="24"/>
        </w:rPr>
        <w:t xml:space="preserve">t </w:t>
      </w:r>
      <w:r w:rsidRPr="0028364C">
        <w:rPr>
          <w:rFonts w:ascii="Times New Roman" w:hAnsi="Times New Roman" w:cs="Times New Roman"/>
          <w:sz w:val="24"/>
          <w:szCs w:val="24"/>
        </w:rPr>
        <w:t>érhető el</w:t>
      </w:r>
      <w:r w:rsidR="007F18D9" w:rsidRPr="0028364C">
        <w:rPr>
          <w:rFonts w:ascii="Times New Roman" w:hAnsi="Times New Roman" w:cs="Times New Roman"/>
          <w:sz w:val="24"/>
          <w:szCs w:val="24"/>
        </w:rPr>
        <w:t>.</w:t>
      </w:r>
    </w:p>
    <w:p w14:paraId="202237EA" w14:textId="77777777" w:rsidR="00EA66C9" w:rsidRPr="0028364C" w:rsidRDefault="00EA66C9" w:rsidP="00EA66C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BC7D3DD" w14:textId="052FE7E2" w:rsidR="004E45E9" w:rsidRPr="0028364C" w:rsidRDefault="004E45E9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teljesítmény alapú javadalmazást az értékesítést végző munkatársak részére a </w:t>
      </w:r>
      <w:proofErr w:type="spellStart"/>
      <w:r w:rsidRPr="0028364C">
        <w:rPr>
          <w:rFonts w:ascii="Times New Roman" w:hAnsi="Times New Roman" w:cs="Times New Roman"/>
          <w:sz w:val="24"/>
          <w:szCs w:val="24"/>
        </w:rPr>
        <w:t>Dunakavics</w:t>
      </w:r>
      <w:proofErr w:type="spellEnd"/>
      <w:r w:rsidRPr="0028364C">
        <w:rPr>
          <w:rFonts w:ascii="Times New Roman" w:hAnsi="Times New Roman" w:cs="Times New Roman"/>
          <w:sz w:val="24"/>
          <w:szCs w:val="24"/>
        </w:rPr>
        <w:t xml:space="preserve"> rendszer, vezető</w:t>
      </w:r>
      <w:r w:rsidR="005C2A2F" w:rsidRPr="0028364C">
        <w:rPr>
          <w:rFonts w:ascii="Times New Roman" w:hAnsi="Times New Roman" w:cs="Times New Roman"/>
          <w:sz w:val="24"/>
          <w:szCs w:val="24"/>
        </w:rPr>
        <w:t xml:space="preserve"> állású és vezető beosztású munkatársa</w:t>
      </w:r>
      <w:r w:rsidRPr="0028364C">
        <w:rPr>
          <w:rFonts w:ascii="Times New Roman" w:hAnsi="Times New Roman" w:cs="Times New Roman"/>
          <w:sz w:val="24"/>
          <w:szCs w:val="24"/>
        </w:rPr>
        <w:t>k</w:t>
      </w:r>
      <w:r w:rsidR="005C2A2F" w:rsidRPr="0028364C">
        <w:rPr>
          <w:rFonts w:ascii="Times New Roman" w:hAnsi="Times New Roman" w:cs="Times New Roman"/>
          <w:sz w:val="24"/>
          <w:szCs w:val="24"/>
        </w:rPr>
        <w:t>, valamint értékesítést nem végző</w:t>
      </w:r>
      <w:r w:rsidR="007373B5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5C2A2F" w:rsidRPr="0028364C">
        <w:rPr>
          <w:rFonts w:ascii="Times New Roman" w:hAnsi="Times New Roman" w:cs="Times New Roman"/>
          <w:sz w:val="24"/>
          <w:szCs w:val="24"/>
        </w:rPr>
        <w:t xml:space="preserve">munkatársak </w:t>
      </w:r>
      <w:r w:rsidRPr="0028364C">
        <w:rPr>
          <w:rFonts w:ascii="Times New Roman" w:hAnsi="Times New Roman" w:cs="Times New Roman"/>
          <w:sz w:val="24"/>
          <w:szCs w:val="24"/>
        </w:rPr>
        <w:t>részére a fent leírt</w:t>
      </w:r>
      <w:r w:rsidR="00EA66C9" w:rsidRPr="0028364C">
        <w:rPr>
          <w:rFonts w:ascii="Times New Roman" w:hAnsi="Times New Roman" w:cs="Times New Roman"/>
          <w:sz w:val="24"/>
          <w:szCs w:val="24"/>
        </w:rPr>
        <w:t xml:space="preserve"> (részletesen a </w:t>
      </w:r>
      <w:r w:rsidR="00764575">
        <w:rPr>
          <w:rFonts w:ascii="Times New Roman" w:hAnsi="Times New Roman" w:cs="Times New Roman"/>
          <w:sz w:val="24"/>
          <w:szCs w:val="24"/>
        </w:rPr>
        <w:t>2</w:t>
      </w:r>
      <w:r w:rsidR="00EA66C9" w:rsidRPr="0028364C">
        <w:rPr>
          <w:rFonts w:ascii="Times New Roman" w:hAnsi="Times New Roman" w:cs="Times New Roman"/>
          <w:sz w:val="24"/>
          <w:szCs w:val="24"/>
        </w:rPr>
        <w:t>. számú mellékletben részletezett)</w:t>
      </w:r>
      <w:r w:rsidRPr="0028364C">
        <w:rPr>
          <w:rFonts w:ascii="Times New Roman" w:hAnsi="Times New Roman" w:cs="Times New Roman"/>
          <w:sz w:val="24"/>
          <w:szCs w:val="24"/>
        </w:rPr>
        <w:t xml:space="preserve"> ösztönzési rendszer hivatott biztosítani. </w:t>
      </w:r>
    </w:p>
    <w:p w14:paraId="5FA985AE" w14:textId="6334DE5B" w:rsidR="009D2711" w:rsidRDefault="004E45E9" w:rsidP="009019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vezetői ösztönzési rendszer egyéni teljesítményértékeléshez kötött, évente egyszer megvalósuló, a Bank mérlegelfogadó közgyűlését követő bérfizetéssel egy időben történő pénzbeli juttatás formájában valósul meg. </w:t>
      </w:r>
    </w:p>
    <w:p w14:paraId="71731577" w14:textId="19DF8366" w:rsidR="00096884" w:rsidRPr="0028364C" w:rsidRDefault="00096884" w:rsidP="009019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vezetői ösztönzési rendszerben használt objektív mutatókat és azok számítási alapját képező értékhatárokat a </w:t>
      </w:r>
      <w:r w:rsidR="007645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számú melléklet tartalmazza.</w:t>
      </w:r>
    </w:p>
    <w:p w14:paraId="525CF37E" w14:textId="66363AC0" w:rsidR="009D4F31" w:rsidRDefault="009D4F31" w:rsidP="009019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3E01E4">
        <w:rPr>
          <w:rFonts w:ascii="Times New Roman" w:hAnsi="Times New Roman" w:cs="Times New Roman"/>
          <w:sz w:val="24"/>
          <w:szCs w:val="24"/>
        </w:rPr>
        <w:t>Bank</w:t>
      </w:r>
      <w:r w:rsidRPr="0028364C">
        <w:rPr>
          <w:rFonts w:ascii="Times New Roman" w:hAnsi="Times New Roman" w:cs="Times New Roman"/>
          <w:sz w:val="24"/>
          <w:szCs w:val="24"/>
        </w:rPr>
        <w:t xml:space="preserve"> saját teljesítményértékelési és ösztönzési rendszert dolgozhat ki, de az minden esetben meg kell hogy feleljen a Javadalmazási Politikában meghatározott elveknek és szabályoknak. </w:t>
      </w:r>
    </w:p>
    <w:p w14:paraId="4B66692D" w14:textId="025BCD55" w:rsidR="00197D31" w:rsidRDefault="00197D31" w:rsidP="00592F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F8A">
        <w:rPr>
          <w:rFonts w:ascii="Times New Roman" w:hAnsi="Times New Roman" w:cs="Times New Roman"/>
          <w:b/>
          <w:sz w:val="24"/>
          <w:szCs w:val="24"/>
          <w:u w:val="single"/>
        </w:rPr>
        <w:t>Azonosított személyek teljesítményértékelése</w:t>
      </w:r>
    </w:p>
    <w:p w14:paraId="06917595" w14:textId="22EF7A39" w:rsidR="009E09C1" w:rsidRPr="00E92F8A" w:rsidRDefault="00592FE9" w:rsidP="009019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368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Teljesítményjavadalmazásnál egyszerre kell értékelni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azonosított személy</w:t>
      </w:r>
      <w:r w:rsidRPr="004368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pénzügyi és nem pénzügyi kritériumokon alapuló -, az érintett szervezeti egység és a </w:t>
      </w:r>
      <w:r w:rsidR="00C333C8">
        <w:rPr>
          <w:rFonts w:ascii="Times New Roman" w:eastAsia="Times New Roman" w:hAnsi="Times New Roman" w:cs="Times New Roman"/>
          <w:sz w:val="24"/>
          <w:szCs w:val="24"/>
          <w:lang w:eastAsia="hu-HU"/>
        </w:rPr>
        <w:t>Bank</w:t>
      </w:r>
      <w:r w:rsidRPr="004368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eredményét. A teljesítményértékelés alapja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Bank</w:t>
      </w:r>
      <w:r w:rsidRPr="004368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hosszú távú teljesítménye, ezért az értékelés többéves időtávra terjed ki, és a teljesítményjavadalmazás kifizetésére kötelezettséget vállalni csak kivételesen, új munkavállaló felvételekor egy évre lehet.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Bank </w:t>
      </w:r>
      <w:r w:rsidRPr="004368E0">
        <w:rPr>
          <w:rFonts w:ascii="Times New Roman" w:eastAsia="Times New Roman" w:hAnsi="Times New Roman" w:cs="Times New Roman"/>
          <w:sz w:val="24"/>
          <w:szCs w:val="24"/>
          <w:lang w:eastAsia="hu-HU"/>
        </w:rPr>
        <w:t>a teljesítményjavadalmazás</w:t>
      </w:r>
      <w:r w:rsidRPr="004368E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ként szétosztható összeg meghatározásánál figyelembe veszi az üzleti ciklusokat, a jelenlegi és jövőbeni kockázatokat, a tőke költségét és a szükséges likviditást.</w:t>
      </w:r>
    </w:p>
    <w:p w14:paraId="52F6102C" w14:textId="15AA4644" w:rsidR="005E4C00" w:rsidRPr="003D2C42" w:rsidRDefault="005E4C00" w:rsidP="009019E6">
      <w:pPr>
        <w:pStyle w:val="Listaszerbekezds"/>
        <w:numPr>
          <w:ilvl w:val="0"/>
          <w:numId w:val="1"/>
        </w:numPr>
        <w:ind w:left="284" w:hanging="284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2" w:name="_Toc109047101"/>
      <w:r w:rsidRPr="00C2566C">
        <w:rPr>
          <w:rFonts w:ascii="Times New Roman" w:hAnsi="Times New Roman" w:cs="Times New Roman"/>
          <w:b/>
          <w:sz w:val="28"/>
          <w:szCs w:val="28"/>
        </w:rPr>
        <w:t>Visszakövetelési szabályok</w:t>
      </w:r>
      <w:r w:rsidR="002C71C3" w:rsidRPr="00B40543">
        <w:rPr>
          <w:rFonts w:ascii="Times New Roman" w:hAnsi="Times New Roman" w:cs="Times New Roman"/>
          <w:b/>
          <w:sz w:val="28"/>
          <w:szCs w:val="28"/>
        </w:rPr>
        <w:t xml:space="preserve"> és a halasztott kifizetés</w:t>
      </w:r>
      <w:bookmarkEnd w:id="32"/>
    </w:p>
    <w:p w14:paraId="44D75B4D" w14:textId="77777777" w:rsidR="001519C5" w:rsidRPr="0028364C" w:rsidRDefault="001519C5" w:rsidP="00E94C1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F61A55D" w14:textId="1D49898D" w:rsidR="00CE53CB" w:rsidRPr="0028364C" w:rsidRDefault="00D063FE" w:rsidP="00794ED2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Ha a </w:t>
      </w:r>
      <w:r w:rsidR="00C333C8">
        <w:rPr>
          <w:rFonts w:ascii="Times New Roman" w:hAnsi="Times New Roman" w:cs="Times New Roman"/>
          <w:sz w:val="24"/>
          <w:szCs w:val="24"/>
        </w:rPr>
        <w:t>Bank</w:t>
      </w:r>
      <w:r w:rsidRPr="0028364C">
        <w:rPr>
          <w:rFonts w:ascii="Times New Roman" w:hAnsi="Times New Roman" w:cs="Times New Roman"/>
          <w:sz w:val="24"/>
          <w:szCs w:val="24"/>
        </w:rPr>
        <w:t xml:space="preserve"> pénzügyi teljesítménye a belső szabályzatban meghatározottak szerinti mértékben azért romlik, mert az adott vezető állású személy, munkavállaló túlzott kockázatot vállalt, a vezető állású személy, munkavállaló kifizetendő teljesítményjavadalmazását csökkenteni kell.</w:t>
      </w:r>
      <w:r w:rsidR="002932E2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CE53CB"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847291" w:rsidRPr="0028364C">
        <w:rPr>
          <w:rFonts w:ascii="Times New Roman" w:hAnsi="Times New Roman" w:cs="Times New Roman"/>
          <w:sz w:val="24"/>
          <w:szCs w:val="24"/>
        </w:rPr>
        <w:t xml:space="preserve">munkavállaló részére teljesített </w:t>
      </w:r>
      <w:r w:rsidR="00CE53CB" w:rsidRPr="0028364C">
        <w:rPr>
          <w:rFonts w:ascii="Times New Roman" w:hAnsi="Times New Roman" w:cs="Times New Roman"/>
          <w:sz w:val="24"/>
          <w:szCs w:val="24"/>
        </w:rPr>
        <w:t xml:space="preserve">teljesítményjavadalmazás </w:t>
      </w:r>
      <w:r w:rsidR="00EE0142" w:rsidRPr="0028364C">
        <w:rPr>
          <w:rFonts w:ascii="Times New Roman" w:hAnsi="Times New Roman" w:cs="Times New Roman"/>
          <w:sz w:val="24"/>
          <w:szCs w:val="24"/>
        </w:rPr>
        <w:t xml:space="preserve">részben vagy teljes mértékben </w:t>
      </w:r>
      <w:r w:rsidR="00CE53CB" w:rsidRPr="0028364C">
        <w:rPr>
          <w:rFonts w:ascii="Times New Roman" w:hAnsi="Times New Roman" w:cs="Times New Roman"/>
          <w:sz w:val="24"/>
          <w:szCs w:val="24"/>
        </w:rPr>
        <w:t xml:space="preserve">csökkenthető </w:t>
      </w:r>
      <w:r w:rsidR="00061C87" w:rsidRPr="0028364C">
        <w:rPr>
          <w:rFonts w:ascii="Times New Roman" w:hAnsi="Times New Roman" w:cs="Times New Roman"/>
          <w:sz w:val="24"/>
          <w:szCs w:val="24"/>
        </w:rPr>
        <w:t>és/</w:t>
      </w:r>
      <w:r w:rsidR="00CE53CB" w:rsidRPr="0028364C">
        <w:rPr>
          <w:rFonts w:ascii="Times New Roman" w:hAnsi="Times New Roman" w:cs="Times New Roman"/>
          <w:sz w:val="24"/>
          <w:szCs w:val="24"/>
        </w:rPr>
        <w:t xml:space="preserve">vagy </w:t>
      </w:r>
      <w:r w:rsidR="00847291" w:rsidRPr="0028364C">
        <w:rPr>
          <w:rFonts w:ascii="Times New Roman" w:hAnsi="Times New Roman" w:cs="Times New Roman"/>
          <w:sz w:val="24"/>
          <w:szCs w:val="24"/>
        </w:rPr>
        <w:t xml:space="preserve">az értékelt és az azt megelőző két üzleti év tekintetében </w:t>
      </w:r>
      <w:r w:rsidR="00CE53CB" w:rsidRPr="0028364C">
        <w:rPr>
          <w:rFonts w:ascii="Times New Roman" w:hAnsi="Times New Roman" w:cs="Times New Roman"/>
          <w:sz w:val="24"/>
          <w:szCs w:val="24"/>
        </w:rPr>
        <w:t>visszakövetelhe</w:t>
      </w:r>
      <w:r w:rsidR="00E134E5" w:rsidRPr="0028364C">
        <w:rPr>
          <w:rFonts w:ascii="Times New Roman" w:hAnsi="Times New Roman" w:cs="Times New Roman"/>
          <w:sz w:val="24"/>
          <w:szCs w:val="24"/>
        </w:rPr>
        <w:t>tő, amennyiben a teljesítményér</w:t>
      </w:r>
      <w:r w:rsidR="00CE53CB" w:rsidRPr="0028364C">
        <w:rPr>
          <w:rFonts w:ascii="Times New Roman" w:hAnsi="Times New Roman" w:cs="Times New Roman"/>
          <w:sz w:val="24"/>
          <w:szCs w:val="24"/>
        </w:rPr>
        <w:t>t</w:t>
      </w:r>
      <w:r w:rsidR="00E134E5" w:rsidRPr="0028364C">
        <w:rPr>
          <w:rFonts w:ascii="Times New Roman" w:hAnsi="Times New Roman" w:cs="Times New Roman"/>
          <w:sz w:val="24"/>
          <w:szCs w:val="24"/>
        </w:rPr>
        <w:t>é</w:t>
      </w:r>
      <w:r w:rsidR="00CE53CB" w:rsidRPr="0028364C">
        <w:rPr>
          <w:rFonts w:ascii="Times New Roman" w:hAnsi="Times New Roman" w:cs="Times New Roman"/>
          <w:sz w:val="24"/>
          <w:szCs w:val="24"/>
        </w:rPr>
        <w:t>kelés</w:t>
      </w:r>
      <w:r w:rsidR="00EE0142" w:rsidRPr="0028364C">
        <w:rPr>
          <w:rFonts w:ascii="Times New Roman" w:hAnsi="Times New Roman" w:cs="Times New Roman"/>
          <w:sz w:val="24"/>
          <w:szCs w:val="24"/>
        </w:rPr>
        <w:t xml:space="preserve"> során kiderül, hogy </w:t>
      </w:r>
      <w:r w:rsidR="00847291" w:rsidRPr="0028364C">
        <w:rPr>
          <w:rFonts w:ascii="Times New Roman" w:hAnsi="Times New Roman" w:cs="Times New Roman"/>
          <w:sz w:val="24"/>
          <w:szCs w:val="24"/>
        </w:rPr>
        <w:t xml:space="preserve">az említett időszakban </w:t>
      </w:r>
      <w:r w:rsidR="00EE0142" w:rsidRPr="0028364C">
        <w:rPr>
          <w:rFonts w:ascii="Times New Roman" w:hAnsi="Times New Roman" w:cs="Times New Roman"/>
          <w:sz w:val="24"/>
          <w:szCs w:val="24"/>
        </w:rPr>
        <w:t>az adott munkatárs:</w:t>
      </w:r>
    </w:p>
    <w:p w14:paraId="6011E1A9" w14:textId="77777777" w:rsidR="00EE29F0" w:rsidRPr="0028364C" w:rsidRDefault="00EE29F0" w:rsidP="00794ED2">
      <w:pPr>
        <w:numPr>
          <w:ilvl w:val="0"/>
          <w:numId w:val="14"/>
        </w:numPr>
        <w:spacing w:before="100" w:beforeAutospacing="1"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részese vagy felelőse volt olyan gyakorlatnak, amely a hitelintézet számára jelentős</w:t>
      </w:r>
      <w:r w:rsidR="00504BB5" w:rsidRPr="0028364C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28364C">
        <w:rPr>
          <w:rFonts w:ascii="Times New Roman" w:hAnsi="Times New Roman" w:cs="Times New Roman"/>
          <w:sz w:val="24"/>
          <w:szCs w:val="24"/>
        </w:rPr>
        <w:t xml:space="preserve"> veszteséget okozott vagy</w:t>
      </w:r>
    </w:p>
    <w:p w14:paraId="290AFA6B" w14:textId="77777777" w:rsidR="00E94C1D" w:rsidRPr="0028364C" w:rsidRDefault="00E94C1D" w:rsidP="00E94C1D">
      <w:pPr>
        <w:numPr>
          <w:ilvl w:val="0"/>
          <w:numId w:val="14"/>
        </w:numPr>
        <w:spacing w:before="100" w:beforeAutospacing="1"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súlyos szabályszegést követett el vagy</w:t>
      </w:r>
    </w:p>
    <w:p w14:paraId="2535B589" w14:textId="77777777" w:rsidR="00EE29F0" w:rsidRPr="0028364C" w:rsidRDefault="00EE29F0" w:rsidP="00E94C1D">
      <w:pPr>
        <w:numPr>
          <w:ilvl w:val="0"/>
          <w:numId w:val="14"/>
        </w:numPr>
        <w:spacing w:before="100" w:beforeAutospacing="1"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pénzügyi teljesítmény azért romlott, mert túlzott kockázatot vállalt vagy</w:t>
      </w:r>
    </w:p>
    <w:p w14:paraId="18821A5F" w14:textId="455B02E2" w:rsidR="00EE29F0" w:rsidRPr="0028364C" w:rsidRDefault="00EE29F0" w:rsidP="00E94C1D">
      <w:pPr>
        <w:numPr>
          <w:ilvl w:val="0"/>
          <w:numId w:val="14"/>
        </w:numPr>
        <w:spacing w:before="100" w:beforeAutospacing="1"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csalás</w:t>
      </w:r>
      <w:r w:rsidR="00E916DF">
        <w:rPr>
          <w:rFonts w:ascii="Times New Roman" w:hAnsi="Times New Roman" w:cs="Times New Roman"/>
          <w:sz w:val="24"/>
          <w:szCs w:val="24"/>
        </w:rPr>
        <w:t>t, vagy egyéb visszaélést követett el</w:t>
      </w:r>
      <w:r w:rsidRPr="0028364C">
        <w:rPr>
          <w:rFonts w:ascii="Times New Roman" w:hAnsi="Times New Roman" w:cs="Times New Roman"/>
          <w:sz w:val="24"/>
          <w:szCs w:val="24"/>
        </w:rPr>
        <w:t>,</w:t>
      </w:r>
      <w:r w:rsidR="00E916DF">
        <w:rPr>
          <w:rFonts w:ascii="Times New Roman" w:hAnsi="Times New Roman" w:cs="Times New Roman"/>
          <w:sz w:val="24"/>
          <w:szCs w:val="24"/>
        </w:rPr>
        <w:t xml:space="preserve"> vagy fennáll ennek a</w:t>
      </w:r>
      <w:r w:rsidR="00C106C3">
        <w:rPr>
          <w:rFonts w:ascii="Times New Roman" w:hAnsi="Times New Roman" w:cs="Times New Roman"/>
          <w:sz w:val="24"/>
          <w:szCs w:val="24"/>
        </w:rPr>
        <w:t>z alapos</w:t>
      </w:r>
      <w:r w:rsidR="00E916DF">
        <w:rPr>
          <w:rFonts w:ascii="Times New Roman" w:hAnsi="Times New Roman" w:cs="Times New Roman"/>
          <w:sz w:val="24"/>
          <w:szCs w:val="24"/>
        </w:rPr>
        <w:t xml:space="preserve"> gyanúja,</w:t>
      </w:r>
      <w:r w:rsidRPr="0028364C">
        <w:rPr>
          <w:rFonts w:ascii="Times New Roman" w:hAnsi="Times New Roman" w:cs="Times New Roman"/>
          <w:sz w:val="24"/>
          <w:szCs w:val="24"/>
        </w:rPr>
        <w:t xml:space="preserve"> vagy más szándékos vagy súlyosan g</w:t>
      </w:r>
      <w:r w:rsidR="00E94C1D" w:rsidRPr="0028364C">
        <w:rPr>
          <w:rFonts w:ascii="Times New Roman" w:hAnsi="Times New Roman" w:cs="Times New Roman"/>
          <w:sz w:val="24"/>
          <w:szCs w:val="24"/>
        </w:rPr>
        <w:t xml:space="preserve">ondatlan </w:t>
      </w:r>
      <w:r w:rsidR="00E916DF">
        <w:rPr>
          <w:rFonts w:ascii="Times New Roman" w:hAnsi="Times New Roman" w:cs="Times New Roman"/>
          <w:sz w:val="24"/>
          <w:szCs w:val="24"/>
        </w:rPr>
        <w:t xml:space="preserve">kötelezettségszegő </w:t>
      </w:r>
      <w:r w:rsidR="00E94C1D" w:rsidRPr="0028364C">
        <w:rPr>
          <w:rFonts w:ascii="Times New Roman" w:hAnsi="Times New Roman" w:cs="Times New Roman"/>
          <w:sz w:val="24"/>
          <w:szCs w:val="24"/>
        </w:rPr>
        <w:t>magatartást tanúsított vagy</w:t>
      </w:r>
    </w:p>
    <w:p w14:paraId="523A5A92" w14:textId="7C1146BB" w:rsidR="00E94C1D" w:rsidRPr="0028364C" w:rsidRDefault="00E94C1D" w:rsidP="00E94C1D">
      <w:pPr>
        <w:numPr>
          <w:ilvl w:val="0"/>
          <w:numId w:val="14"/>
        </w:numPr>
        <w:spacing w:before="100" w:beforeAutospacing="1"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munkaviszonya </w:t>
      </w:r>
      <w:r w:rsidR="0065186A" w:rsidRPr="0028364C">
        <w:rPr>
          <w:rFonts w:ascii="Times New Roman" w:hAnsi="Times New Roman" w:cs="Times New Roman"/>
          <w:sz w:val="24"/>
          <w:szCs w:val="24"/>
        </w:rPr>
        <w:t>a</w:t>
      </w:r>
      <w:r w:rsidRPr="0028364C">
        <w:rPr>
          <w:rFonts w:ascii="Times New Roman" w:hAnsi="Times New Roman" w:cs="Times New Roman"/>
          <w:sz w:val="24"/>
          <w:szCs w:val="24"/>
        </w:rPr>
        <w:t xml:space="preserve"> magatartásával (súlyos kötelezettségszegésével) indokolt azonnali hatályú felmondással kerül megszűntetésre</w:t>
      </w:r>
    </w:p>
    <w:p w14:paraId="23B16563" w14:textId="77777777" w:rsidR="00847291" w:rsidRPr="0028364C" w:rsidRDefault="00847291" w:rsidP="009019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Azonosított személyek esetében, az értékelt és az azt megelőző két üzleti év tekintetében teljesítendő és már nyújtott teljesítmény javadalmazás akkor is megtagadható és visszakövetelhető,</w:t>
      </w:r>
    </w:p>
    <w:p w14:paraId="678B5257" w14:textId="475925C5" w:rsidR="00352E20" w:rsidRPr="0028364C" w:rsidRDefault="00847291" w:rsidP="00C73AAE">
      <w:pPr>
        <w:pStyle w:val="Listaszerbekezds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ha a Bankkal szemben a felügyeleti hatóság (MNB) </w:t>
      </w:r>
      <w:r w:rsidR="00352E20" w:rsidRPr="0028364C">
        <w:rPr>
          <w:rFonts w:ascii="Times New Roman" w:hAnsi="Times New Roman" w:cs="Times New Roman"/>
          <w:sz w:val="24"/>
          <w:szCs w:val="24"/>
        </w:rPr>
        <w:t>az értékelt és az azt megelőző bár</w:t>
      </w:r>
      <w:r w:rsidRPr="0028364C">
        <w:rPr>
          <w:rFonts w:ascii="Times New Roman" w:hAnsi="Times New Roman" w:cs="Times New Roman"/>
          <w:sz w:val="24"/>
          <w:szCs w:val="24"/>
        </w:rPr>
        <w:t>melyik év</w:t>
      </w:r>
      <w:r w:rsidR="00352E20" w:rsidRPr="0028364C">
        <w:rPr>
          <w:rFonts w:ascii="Times New Roman" w:hAnsi="Times New Roman" w:cs="Times New Roman"/>
          <w:sz w:val="24"/>
          <w:szCs w:val="24"/>
        </w:rPr>
        <w:t xml:space="preserve"> működése tekinteté</w:t>
      </w:r>
      <w:r w:rsidRPr="0028364C">
        <w:rPr>
          <w:rFonts w:ascii="Times New Roman" w:hAnsi="Times New Roman" w:cs="Times New Roman"/>
          <w:sz w:val="24"/>
          <w:szCs w:val="24"/>
        </w:rPr>
        <w:t xml:space="preserve">ben </w:t>
      </w:r>
      <w:r w:rsidR="00C71AE1">
        <w:rPr>
          <w:rFonts w:ascii="Times New Roman" w:hAnsi="Times New Roman" w:cs="Times New Roman"/>
          <w:sz w:val="24"/>
          <w:szCs w:val="24"/>
        </w:rPr>
        <w:t>100</w:t>
      </w:r>
      <w:r w:rsidR="00C71AE1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hAnsi="Times New Roman" w:cs="Times New Roman"/>
          <w:sz w:val="24"/>
          <w:szCs w:val="24"/>
        </w:rPr>
        <w:t>millió Ft-ot meghaladó bírságot szab ki, és/vagy</w:t>
      </w:r>
    </w:p>
    <w:p w14:paraId="66E2C977" w14:textId="77777777" w:rsidR="00352E20" w:rsidRPr="0028364C" w:rsidRDefault="00352E20" w:rsidP="00C73AAE">
      <w:pPr>
        <w:pStyle w:val="Listaszerbekezds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felügyeleti hatóság (MNB), a Bankkal szemben a</w:t>
      </w:r>
      <w:r w:rsidRPr="0028364C">
        <w:rPr>
          <w:rFonts w:ascii="Times New Roman" w:eastAsiaTheme="minorHAnsi" w:hAnsi="Times New Roman" w:cs="Times New Roman"/>
          <w:sz w:val="24"/>
          <w:szCs w:val="24"/>
        </w:rPr>
        <w:t xml:space="preserve"> hitelintézetekről és a pénzügyi vállalkozásokról szóló 2013. évi CCXXXVII. évi törvény (Hpt.) 189. paragrafusában felsorolt bármely kivételes intézkedés meghozatalára kényszerül </w:t>
      </w:r>
    </w:p>
    <w:p w14:paraId="2557CFB8" w14:textId="77777777" w:rsidR="00352E20" w:rsidRPr="0028364C" w:rsidRDefault="00352E20" w:rsidP="009019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azonosított személyek tekintetében, az előző két bekezdésben felsorolt okok bármelyikének bekövetkezése esetén az értékelt és az azt megelőző két üzleti év után kifizetett teljesítmény javadalmazás együttes összege követelhető vissza.</w:t>
      </w:r>
    </w:p>
    <w:p w14:paraId="34C8987E" w14:textId="08652ADC" w:rsidR="00504BB5" w:rsidRPr="0028364C" w:rsidRDefault="00504BB5" w:rsidP="009019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Teljesítmény javadalmazás visszakövetelésére a </w:t>
      </w:r>
      <w:r w:rsidRPr="0028364C">
        <w:rPr>
          <w:rFonts w:ascii="Times New Roman" w:hAnsi="Times New Roman" w:cs="Times New Roman"/>
          <w:b/>
          <w:sz w:val="24"/>
          <w:szCs w:val="24"/>
        </w:rPr>
        <w:t>visszakövetelési időszakban</w:t>
      </w:r>
      <w:r w:rsidRPr="0028364C">
        <w:rPr>
          <w:rFonts w:ascii="Times New Roman" w:hAnsi="Times New Roman" w:cs="Times New Roman"/>
          <w:sz w:val="24"/>
          <w:szCs w:val="24"/>
        </w:rPr>
        <w:t xml:space="preserve"> van lehetősége a Bank arra illetékes testületének. Visszakövetelési időszaknak minősül az értékelt és az az</w:t>
      </w:r>
      <w:r w:rsidR="00B3777F" w:rsidRPr="0028364C">
        <w:rPr>
          <w:rFonts w:ascii="Times New Roman" w:hAnsi="Times New Roman" w:cs="Times New Roman"/>
          <w:sz w:val="24"/>
          <w:szCs w:val="24"/>
        </w:rPr>
        <w:t>t</w:t>
      </w:r>
      <w:r w:rsidRPr="0028364C">
        <w:rPr>
          <w:rFonts w:ascii="Times New Roman" w:hAnsi="Times New Roman" w:cs="Times New Roman"/>
          <w:sz w:val="24"/>
          <w:szCs w:val="24"/>
        </w:rPr>
        <w:t xml:space="preserve"> megelőző két üzleti év.  </w:t>
      </w:r>
    </w:p>
    <w:p w14:paraId="19676AC6" w14:textId="77777777" w:rsidR="009019E6" w:rsidRPr="0028364C" w:rsidRDefault="00EE29F0" w:rsidP="009019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lastRenderedPageBreak/>
        <w:t>A munkáltató a munkavállaló munkaviszonnyal összefüggő tartozásainak megtérítésére irányuló igényét írásbeli felszólítással érvényesítheti. A felszólításban meg kell határozni a visszakövetelés jogalapját, a visszafizetendő összeget, a befizetés határnapját és módját, tájékoztatni kell a munkavállalót a jogorvoslat módjáról és határidejéről is. A munkáltató nem köteles élni a fizetési felszólítás lehetőségével, hanem igényét keresettel (fizetési me</w:t>
      </w:r>
      <w:r w:rsidR="000F40FC" w:rsidRPr="0028364C">
        <w:rPr>
          <w:rFonts w:ascii="Times New Roman" w:hAnsi="Times New Roman" w:cs="Times New Roman"/>
          <w:sz w:val="24"/>
          <w:szCs w:val="24"/>
        </w:rPr>
        <w:t xml:space="preserve">ghagyással is) érvényesítheti. </w:t>
      </w:r>
    </w:p>
    <w:p w14:paraId="2F77FE8E" w14:textId="77777777" w:rsidR="004B5AF0" w:rsidRPr="0028364C" w:rsidRDefault="004B5AF0" w:rsidP="009019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visszaköveteléssel kapcsolatos döntések meghozatalára a Bank Felügyelő Bizottsága jogosult.</w:t>
      </w:r>
    </w:p>
    <w:p w14:paraId="178FD239" w14:textId="77777777" w:rsidR="002C71C3" w:rsidRDefault="002C71C3" w:rsidP="00B40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52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Halasztott kifizetés</w:t>
      </w:r>
    </w:p>
    <w:p w14:paraId="5DD0C109" w14:textId="77777777" w:rsidR="00BB00B6" w:rsidRDefault="00BB00B6" w:rsidP="00E9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kerül sor a teljesítményjavadalmazás kifizetésekor halasztás alkalmazására, amíg a Bank megfelel az alábbi feltételnek:</w:t>
      </w:r>
    </w:p>
    <w:p w14:paraId="1D54D087" w14:textId="7900373A" w:rsidR="003C4AC2" w:rsidRDefault="00BB00B6" w:rsidP="00E9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AC2">
        <w:rPr>
          <w:rFonts w:ascii="Times New Roman" w:hAnsi="Times New Roman" w:cs="Times New Roman"/>
          <w:sz w:val="24"/>
          <w:szCs w:val="24"/>
        </w:rPr>
        <w:t xml:space="preserve">A Bank </w:t>
      </w:r>
      <w:r w:rsidR="003C4AC2" w:rsidRPr="00E92F8A">
        <w:rPr>
          <w:rFonts w:ascii="Times New Roman" w:hAnsi="Times New Roman" w:cs="Times New Roman"/>
          <w:sz w:val="24"/>
          <w:szCs w:val="24"/>
        </w:rPr>
        <w:t xml:space="preserve">nem minősül az </w:t>
      </w:r>
      <w:hyperlink r:id="rId12" w:tgtFrame="_blank" w:history="1">
        <w:r w:rsidR="003C4AC2" w:rsidRPr="00E92F8A">
          <w:rPr>
            <w:rStyle w:val="Hiperhivatkozs"/>
            <w:rFonts w:ascii="Times New Roman" w:hAnsi="Times New Roman"/>
            <w:sz w:val="24"/>
            <w:szCs w:val="24"/>
            <w:u w:val="none"/>
          </w:rPr>
          <w:t>575/2013/EU rendelet 4. cikk (1) bekezdés 146. pontjában</w:t>
        </w:r>
      </w:hyperlink>
      <w:r w:rsidR="003C4AC2" w:rsidRPr="00E92F8A">
        <w:rPr>
          <w:rFonts w:ascii="Times New Roman" w:hAnsi="Times New Roman" w:cs="Times New Roman"/>
          <w:sz w:val="24"/>
          <w:szCs w:val="24"/>
        </w:rPr>
        <w:t xml:space="preserve"> meghatározott nagy méretű hitelintézetnek, és az egyedi alapon számított, előző négy év végi mérlegfőösszegének átlaga nem haladja meg az ezerötszáz-milliárd forintot</w:t>
      </w:r>
      <w:r w:rsidR="00366A96">
        <w:rPr>
          <w:rFonts w:ascii="Times New Roman" w:hAnsi="Times New Roman" w:cs="Times New Roman"/>
          <w:sz w:val="24"/>
          <w:szCs w:val="24"/>
        </w:rPr>
        <w:t>.</w:t>
      </w:r>
    </w:p>
    <w:p w14:paraId="1F1FF2C3" w14:textId="7DA99ACE" w:rsidR="00B01F5C" w:rsidRDefault="00B01F5C" w:rsidP="00E92F8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2F8A">
        <w:rPr>
          <w:rStyle w:val="markedcontent"/>
          <w:rFonts w:ascii="Times New Roman" w:hAnsi="Times New Roman" w:cs="Times New Roman"/>
          <w:sz w:val="24"/>
          <w:szCs w:val="24"/>
        </w:rPr>
        <w:t>A folyó pénzügyi évet közvetlenül megelőző négyéves időszak átlagos eszközértékének a kiszámításakor a négy megelőző pénzügyi év végén kimutatott ezen értékek egyszerű átlagát kell kiszámítania.</w:t>
      </w:r>
    </w:p>
    <w:p w14:paraId="4813082A" w14:textId="77777777" w:rsidR="00BB00B6" w:rsidRPr="00E92F8A" w:rsidRDefault="00BB00B6" w:rsidP="00E9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894FF" w14:textId="35BE8260" w:rsidR="002C71C3" w:rsidRDefault="00366A96" w:rsidP="00B40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Bank nem felel meg a </w:t>
      </w:r>
      <w:r w:rsidR="00BB00B6">
        <w:rPr>
          <w:rFonts w:ascii="Times New Roman" w:hAnsi="Times New Roman" w:cs="Times New Roman"/>
          <w:sz w:val="24"/>
          <w:szCs w:val="24"/>
        </w:rPr>
        <w:t>fentiek szerinti</w:t>
      </w:r>
      <w:r>
        <w:rPr>
          <w:rFonts w:ascii="Times New Roman" w:hAnsi="Times New Roman" w:cs="Times New Roman"/>
          <w:sz w:val="24"/>
          <w:szCs w:val="24"/>
        </w:rPr>
        <w:t xml:space="preserve"> kritériumnak és/vagy értékhatárnak, </w:t>
      </w:r>
      <w:r w:rsidR="002C71C3" w:rsidRPr="00B40543">
        <w:rPr>
          <w:rFonts w:ascii="Times New Roman" w:hAnsi="Times New Roman" w:cs="Times New Roman"/>
          <w:sz w:val="24"/>
          <w:szCs w:val="24"/>
        </w:rPr>
        <w:t xml:space="preserve"> alkalmaznia kell a halasztott kifizetés intézményét</w:t>
      </w:r>
      <w:r w:rsidR="001017B4">
        <w:rPr>
          <w:rFonts w:ascii="Times New Roman" w:hAnsi="Times New Roman" w:cs="Times New Roman"/>
          <w:sz w:val="24"/>
          <w:szCs w:val="24"/>
        </w:rPr>
        <w:t>.</w:t>
      </w:r>
    </w:p>
    <w:p w14:paraId="39588FE2" w14:textId="54D4D53A" w:rsidR="001017B4" w:rsidRDefault="001017B4" w:rsidP="00B40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halasztásnál a Bank a következő szempontokat veszi figyelembe:</w:t>
      </w:r>
    </w:p>
    <w:p w14:paraId="00BFB023" w14:textId="2D97291E" w:rsidR="001017B4" w:rsidRDefault="001017B4" w:rsidP="00B40543">
      <w:pPr>
        <w:pStyle w:val="Listaszerbekezds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azonosított munkavállalók felelősségi és hatáskörei, valamint az általuk elvégzett feladatok</w:t>
      </w:r>
    </w:p>
    <w:p w14:paraId="312683B3" w14:textId="7F241135" w:rsidR="001017B4" w:rsidRDefault="001017B4" w:rsidP="00B40543">
      <w:pPr>
        <w:pStyle w:val="Listaszerbekezds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Bank üzleti ciklusa, valamint a tevékenységei jellege</w:t>
      </w:r>
    </w:p>
    <w:p w14:paraId="1B113B7E" w14:textId="3194B249" w:rsidR="001017B4" w:rsidRDefault="001017B4" w:rsidP="00B40543">
      <w:pPr>
        <w:pStyle w:val="Listaszerbekezds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Bank és az üzleti egység gazdasági tevékenységeinek, valamint teljesítményének ingadozásokra gyakorolt hatás</w:t>
      </w:r>
    </w:p>
    <w:p w14:paraId="25B5268D" w14:textId="308863CD" w:rsidR="001017B4" w:rsidRPr="00B40543" w:rsidRDefault="001017B4" w:rsidP="00B40543">
      <w:pPr>
        <w:pStyle w:val="Listaszerbekezds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teljes javadalmazás teljesítményjavadalmazás és alapjavadalmazás közötti jóváhagyott arány, valamint a teljesítményjavadalmazás abszolút összege</w:t>
      </w:r>
    </w:p>
    <w:p w14:paraId="5DA17EF1" w14:textId="65B0450C" w:rsidR="002C71C3" w:rsidRPr="00813BC8" w:rsidRDefault="002C71C3" w:rsidP="00E92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71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teljesítményjavadalmazás legalább 40 százalékát </w:t>
      </w:r>
      <w:r w:rsidR="00813BC8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2C71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0E63">
        <w:rPr>
          <w:rFonts w:ascii="Times New Roman" w:eastAsia="Times New Roman" w:hAnsi="Times New Roman" w:cs="Times New Roman"/>
          <w:sz w:val="24"/>
          <w:szCs w:val="24"/>
          <w:lang w:eastAsia="hu-HU"/>
        </w:rPr>
        <w:t>ha a</w:t>
      </w:r>
      <w:r w:rsidR="00430E63" w:rsidRPr="0028364C">
        <w:rPr>
          <w:rFonts w:ascii="Times New Roman" w:hAnsi="Times New Roman" w:cs="Times New Roman"/>
          <w:sz w:val="24"/>
          <w:szCs w:val="24"/>
        </w:rPr>
        <w:t xml:space="preserve"> teljesítményjavadalmazás </w:t>
      </w:r>
      <w:r w:rsidR="00430E63">
        <w:rPr>
          <w:rFonts w:ascii="Times New Roman" w:hAnsi="Times New Roman" w:cs="Times New Roman"/>
          <w:sz w:val="24"/>
          <w:szCs w:val="24"/>
        </w:rPr>
        <w:t>meghaladja az alapjavadalmazás 70</w:t>
      </w:r>
      <w:r w:rsidR="00430E63" w:rsidRPr="0028364C">
        <w:rPr>
          <w:rFonts w:ascii="Times New Roman" w:hAnsi="Times New Roman" w:cs="Times New Roman"/>
          <w:sz w:val="24"/>
          <w:szCs w:val="24"/>
        </w:rPr>
        <w:t>%-</w:t>
      </w:r>
      <w:r w:rsidR="00430E63" w:rsidRPr="00430E63">
        <w:rPr>
          <w:rFonts w:ascii="Times New Roman" w:hAnsi="Times New Roman" w:cs="Times New Roman"/>
          <w:sz w:val="24"/>
          <w:szCs w:val="24"/>
        </w:rPr>
        <w:t>át</w:t>
      </w:r>
      <w:r w:rsidR="00430E63" w:rsidRPr="00B405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30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akkor </w:t>
      </w:r>
      <w:r w:rsidRPr="00430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legalább </w:t>
      </w:r>
      <w:r w:rsidR="001757F5">
        <w:rPr>
          <w:rFonts w:ascii="Times New Roman" w:eastAsia="Times New Roman" w:hAnsi="Times New Roman" w:cs="Times New Roman"/>
          <w:sz w:val="24"/>
          <w:szCs w:val="24"/>
          <w:lang w:eastAsia="hu-HU"/>
        </w:rPr>
        <w:t>60</w:t>
      </w:r>
      <w:r w:rsidR="001757F5" w:rsidRPr="00430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0E63">
        <w:rPr>
          <w:rFonts w:ascii="Times New Roman" w:eastAsia="Times New Roman" w:hAnsi="Times New Roman" w:cs="Times New Roman"/>
          <w:sz w:val="24"/>
          <w:szCs w:val="24"/>
          <w:lang w:eastAsia="hu-HU"/>
        </w:rPr>
        <w:t>százalékát</w:t>
      </w:r>
      <w:r w:rsidRPr="002C71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halasztva, az ü</w:t>
      </w:r>
      <w:r w:rsidRPr="00813B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zleti tevékenység természetétől, kockázataitól és az adott vezető állású személy, munkavállaló tevékenységeitől függően </w:t>
      </w:r>
      <w:r w:rsidR="001757F5"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="001757F5" w:rsidRPr="00813B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13B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évnél rövidebb időtartamú munkaviszony esetén a munkaviszony megszűnésekor, egyébként </w:t>
      </w:r>
      <w:r w:rsidR="001757F5"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813BC8">
        <w:rPr>
          <w:rFonts w:ascii="Times New Roman" w:eastAsia="Times New Roman" w:hAnsi="Times New Roman" w:cs="Times New Roman"/>
          <w:sz w:val="24"/>
          <w:szCs w:val="24"/>
          <w:lang w:eastAsia="hu-HU"/>
        </w:rPr>
        <w:t>-ötéves időszak alatt kell kifizetni.</w:t>
      </w:r>
      <w:r w:rsidR="00AC69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757F5">
        <w:rPr>
          <w:rFonts w:ascii="Times New Roman" w:eastAsia="Times New Roman" w:hAnsi="Times New Roman" w:cs="Times New Roman"/>
          <w:sz w:val="24"/>
          <w:szCs w:val="24"/>
          <w:lang w:eastAsia="hu-HU"/>
        </w:rPr>
        <w:t>A halasztási szabályok sz</w:t>
      </w:r>
      <w:r w:rsidR="002F354C">
        <w:rPr>
          <w:rFonts w:ascii="Times New Roman" w:eastAsia="Times New Roman" w:hAnsi="Times New Roman" w:cs="Times New Roman"/>
          <w:sz w:val="24"/>
          <w:szCs w:val="24"/>
          <w:lang w:eastAsia="hu-HU"/>
        </w:rPr>
        <w:t>erint fizetendő javadalmazás le</w:t>
      </w:r>
      <w:r w:rsidR="001757F5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2F354C">
        <w:rPr>
          <w:rFonts w:ascii="Times New Roman" w:eastAsia="Times New Roman" w:hAnsi="Times New Roman" w:cs="Times New Roman"/>
          <w:sz w:val="24"/>
          <w:szCs w:val="24"/>
          <w:lang w:eastAsia="hu-HU"/>
        </w:rPr>
        <w:t>felj</w:t>
      </w:r>
      <w:r w:rsidR="001757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ebb időarányosan illetheti meg a munkavállalót. </w:t>
      </w:r>
      <w:r w:rsidR="00AC697E">
        <w:rPr>
          <w:rFonts w:ascii="Times New Roman" w:eastAsia="Times New Roman" w:hAnsi="Times New Roman" w:cs="Times New Roman"/>
          <w:sz w:val="24"/>
          <w:szCs w:val="24"/>
          <w:lang w:eastAsia="hu-HU"/>
        </w:rPr>
        <w:t>Halasztási időszak kezdő napja a teljesítményjavadalmazás kifizetéséről történő döntést követő nap.</w:t>
      </w:r>
    </w:p>
    <w:p w14:paraId="72C4F1FA" w14:textId="3655C0F1" w:rsidR="00813BC8" w:rsidRDefault="00813BC8" w:rsidP="002C71C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Bank </w:t>
      </w:r>
      <w:r w:rsidR="001757F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éves halasztási időszakot alkalmaz a teljesítményjavadalmazás </w:t>
      </w:r>
      <w:r w:rsidR="00430E63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%-os halasztása esetén, 5 éves halasztási időszakot alkalmaz </w:t>
      </w:r>
      <w:r w:rsidR="00430E63">
        <w:rPr>
          <w:rFonts w:ascii="Times New Roman" w:hAnsi="Times New Roman" w:cs="Times New Roman"/>
        </w:rPr>
        <w:t xml:space="preserve">a teljesítményjavadalmazás </w:t>
      </w:r>
      <w:r>
        <w:rPr>
          <w:rFonts w:ascii="Times New Roman" w:hAnsi="Times New Roman" w:cs="Times New Roman"/>
        </w:rPr>
        <w:t>60%-os halasztás</w:t>
      </w:r>
      <w:r w:rsidR="00430E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esetén.</w:t>
      </w:r>
    </w:p>
    <w:p w14:paraId="474B5D96" w14:textId="77777777" w:rsidR="00813BC8" w:rsidRDefault="00813BC8" w:rsidP="002C71C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203E3A3" w14:textId="74B7DA25" w:rsidR="008D625E" w:rsidRDefault="008D625E" w:rsidP="002C71C3">
      <w:pPr>
        <w:pStyle w:val="Default"/>
        <w:spacing w:line="276" w:lineRule="auto"/>
        <w:jc w:val="both"/>
      </w:pPr>
      <w:r>
        <w:t>A teljesítményjavadalmazást csökkenteni kell, ha a hitelintézet pénzügyi teljesítménye jelentősen visszaesik vagy negatív, figyelembe véve az aktuális javadalmazást és a csökkentési vagy visszakövetelési szabályokat.</w:t>
      </w:r>
    </w:p>
    <w:p w14:paraId="4C38C24A" w14:textId="77777777" w:rsidR="008D625E" w:rsidRDefault="008D625E" w:rsidP="002C71C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CDD4663" w14:textId="689C62B5" w:rsidR="002C71C3" w:rsidRDefault="00813BC8" w:rsidP="00B405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71C3" w:rsidRPr="00813BC8">
        <w:rPr>
          <w:rFonts w:ascii="Times New Roman" w:hAnsi="Times New Roman" w:cs="Times New Roman"/>
        </w:rPr>
        <w:t>A halasztott kifizetés úgy történik , hogy</w:t>
      </w:r>
      <w:r w:rsidR="006301FA">
        <w:rPr>
          <w:rFonts w:ascii="Times New Roman" w:hAnsi="Times New Roman" w:cs="Times New Roman"/>
        </w:rPr>
        <w:t xml:space="preserve"> 40%-os halasztás esetén</w:t>
      </w:r>
      <w:r w:rsidR="002C71C3" w:rsidRPr="00813BC8">
        <w:rPr>
          <w:rFonts w:ascii="Times New Roman" w:hAnsi="Times New Roman" w:cs="Times New Roman"/>
        </w:rPr>
        <w:t xml:space="preserve"> a kifizetendő prémium összegének 60%-a </w:t>
      </w:r>
      <w:r w:rsidR="006301FA">
        <w:rPr>
          <w:rFonts w:ascii="Times New Roman" w:hAnsi="Times New Roman" w:cs="Times New Roman"/>
        </w:rPr>
        <w:t xml:space="preserve">(60%-os halasztás esetén 40%-a) </w:t>
      </w:r>
      <w:r w:rsidR="002C71C3" w:rsidRPr="00813BC8">
        <w:rPr>
          <w:rFonts w:ascii="Times New Roman" w:hAnsi="Times New Roman" w:cs="Times New Roman"/>
        </w:rPr>
        <w:t>kerül az arra jogosulttá váláskor kifizetésre, a fennmaradó összeg</w:t>
      </w:r>
      <w:r w:rsidR="006301FA">
        <w:rPr>
          <w:rFonts w:ascii="Times New Roman" w:hAnsi="Times New Roman" w:cs="Times New Roman"/>
        </w:rPr>
        <w:t xml:space="preserve"> 40%-os halasztás esetén</w:t>
      </w:r>
      <w:r w:rsidR="002C71C3" w:rsidRPr="00813BC8">
        <w:rPr>
          <w:rFonts w:ascii="Times New Roman" w:hAnsi="Times New Roman" w:cs="Times New Roman"/>
        </w:rPr>
        <w:t xml:space="preserve"> pedig </w:t>
      </w:r>
      <w:r w:rsidR="001757F5">
        <w:rPr>
          <w:rFonts w:ascii="Times New Roman" w:hAnsi="Times New Roman" w:cs="Times New Roman"/>
        </w:rPr>
        <w:t>4</w:t>
      </w:r>
      <w:r w:rsidR="002C71C3" w:rsidRPr="00813BC8">
        <w:rPr>
          <w:rFonts w:ascii="Times New Roman" w:hAnsi="Times New Roman" w:cs="Times New Roman"/>
        </w:rPr>
        <w:t xml:space="preserve"> éven belül</w:t>
      </w:r>
      <w:r w:rsidR="006301FA">
        <w:rPr>
          <w:rFonts w:ascii="Times New Roman" w:hAnsi="Times New Roman" w:cs="Times New Roman"/>
        </w:rPr>
        <w:t xml:space="preserve"> (60%-os halasztás esetén 5 éven belül)</w:t>
      </w:r>
      <w:r w:rsidR="002C71C3" w:rsidRPr="00813BC8">
        <w:rPr>
          <w:rFonts w:ascii="Times New Roman" w:hAnsi="Times New Roman" w:cs="Times New Roman"/>
        </w:rPr>
        <w:t xml:space="preserve"> kerül kifizetésre arányosan úgy, hogy a halasztott kifizetés mindig az éves </w:t>
      </w:r>
      <w:proofErr w:type="spellStart"/>
      <w:r w:rsidR="002C71C3" w:rsidRPr="00813BC8">
        <w:rPr>
          <w:rFonts w:ascii="Times New Roman" w:hAnsi="Times New Roman" w:cs="Times New Roman"/>
        </w:rPr>
        <w:t>mozgóbér</w:t>
      </w:r>
      <w:proofErr w:type="spellEnd"/>
      <w:r w:rsidR="002C71C3" w:rsidRPr="00813BC8">
        <w:rPr>
          <w:rFonts w:ascii="Times New Roman" w:hAnsi="Times New Roman" w:cs="Times New Roman"/>
        </w:rPr>
        <w:t xml:space="preserve"> kifizetéssel együtt történik (közgyűlést követő bérszámfejtéskor), a teljesítmény újraértékelése mellett, a halasztott javadalmazás juttatását megelőző utólagos kockázati kiigazítások alapján csökkentve a halasztott teljesítményjavadalmazás egészének vagy egy részének értékét. </w:t>
      </w:r>
      <w:r w:rsidR="007B52C9">
        <w:rPr>
          <w:rFonts w:ascii="Times New Roman" w:hAnsi="Times New Roman" w:cs="Times New Roman"/>
        </w:rPr>
        <w:t xml:space="preserve"> </w:t>
      </w:r>
    </w:p>
    <w:p w14:paraId="52F54F68" w14:textId="77777777" w:rsidR="001757F5" w:rsidRDefault="001757F5" w:rsidP="00B405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7F43C53" w14:textId="18F2906E" w:rsidR="001757F5" w:rsidRDefault="00D67B99" w:rsidP="00D67B9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halasztás</w:t>
      </w:r>
      <w:r w:rsidR="001C1371">
        <w:rPr>
          <w:rFonts w:ascii="Times New Roman" w:hAnsi="Times New Roman" w:cs="Times New Roman"/>
        </w:rPr>
        <w:t xml:space="preserve"> és egyes munkavállalók számára instrumentumokban való kifizetésre vonatkozó követelmény</w:t>
      </w:r>
      <w:r>
        <w:rPr>
          <w:rFonts w:ascii="Times New Roman" w:hAnsi="Times New Roman" w:cs="Times New Roman"/>
        </w:rPr>
        <w:t xml:space="preserve"> nem alkalmazandó</w:t>
      </w:r>
      <w:r w:rsidRPr="00D67B99">
        <w:rPr>
          <w:rFonts w:ascii="Times New Roman" w:hAnsi="Times New Roman" w:cs="Times New Roman"/>
        </w:rPr>
        <w:t xml:space="preserve"> arra a munkavállalóra, akinek az éves teljesítményjavadalmazása nem haladja meg a tizenhétmillió-ötszázezer forintot, és a teljesítményjavadalmazás a munkavállaló teljes éves javadalmazásának legfeljebb az egyharmada</w:t>
      </w:r>
      <w:r>
        <w:rPr>
          <w:rFonts w:ascii="Times New Roman" w:hAnsi="Times New Roman" w:cs="Times New Roman"/>
        </w:rPr>
        <w:t>.</w:t>
      </w:r>
    </w:p>
    <w:p w14:paraId="21541C93" w14:textId="458EE34B" w:rsidR="008E3464" w:rsidRDefault="000D7CB0" w:rsidP="00D67B99">
      <w:pPr>
        <w:pStyle w:val="Default"/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 xml:space="preserve">A valamely munkavállalónak fizetett éves </w:t>
      </w:r>
      <w:r>
        <w:rPr>
          <w:rStyle w:val="markedcontent"/>
          <w:rFonts w:ascii="Times New Roman" w:hAnsi="Times New Roman" w:cs="Times New Roman"/>
        </w:rPr>
        <w:t>teljesítmény</w:t>
      </w:r>
      <w:r w:rsidRPr="00E92F8A">
        <w:rPr>
          <w:rStyle w:val="markedcontent"/>
          <w:rFonts w:ascii="Times New Roman" w:hAnsi="Times New Roman" w:cs="Times New Roman"/>
        </w:rPr>
        <w:t xml:space="preserve">javadalmazás összegének és az éves javadalmazás változó és rögzített összetevői közötti aránynak </w:t>
      </w:r>
      <w:r>
        <w:rPr>
          <w:rStyle w:val="markedcontent"/>
          <w:rFonts w:ascii="Times New Roman" w:hAnsi="Times New Roman" w:cs="Times New Roman"/>
        </w:rPr>
        <w:t>a</w:t>
      </w:r>
      <w:r w:rsidR="008E3464" w:rsidRPr="00E92F8A">
        <w:rPr>
          <w:rStyle w:val="markedcontent"/>
          <w:rFonts w:ascii="Times New Roman" w:hAnsi="Times New Roman" w:cs="Times New Roman"/>
        </w:rPr>
        <w:t xml:space="preserve"> teljesítményjavadalmazás halasztására és egyes munkavállalók számára instrumentumo</w:t>
      </w:r>
      <w:r w:rsidR="008E3464">
        <w:rPr>
          <w:rStyle w:val="markedcontent"/>
          <w:rFonts w:ascii="Times New Roman" w:hAnsi="Times New Roman" w:cs="Times New Roman"/>
        </w:rPr>
        <w:t>k</w:t>
      </w:r>
      <w:r w:rsidR="008E3464" w:rsidRPr="00E92F8A">
        <w:rPr>
          <w:rStyle w:val="markedcontent"/>
          <w:rFonts w:ascii="Times New Roman" w:hAnsi="Times New Roman" w:cs="Times New Roman"/>
        </w:rPr>
        <w:t>ban való kifizetésére vonatkozó követelmény alóli mentességek alkalmazása céljából történő megállapítása során a</w:t>
      </w:r>
      <w:r>
        <w:rPr>
          <w:rStyle w:val="markedcontent"/>
          <w:rFonts w:ascii="Times New Roman" w:hAnsi="Times New Roman" w:cs="Times New Roman"/>
        </w:rPr>
        <w:t xml:space="preserve"> Banknak a következőket kell figyelembe vennie:</w:t>
      </w:r>
    </w:p>
    <w:p w14:paraId="15B28D44" w14:textId="49B3A04C" w:rsidR="000D7CB0" w:rsidRDefault="000D7CB0" w:rsidP="00E92F8A">
      <w:pPr>
        <w:pStyle w:val="Default"/>
        <w:numPr>
          <w:ilvl w:val="0"/>
          <w:numId w:val="34"/>
        </w:numPr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 xml:space="preserve">Az adott teljesítmény-időszakra megállapított éves </w:t>
      </w:r>
      <w:r>
        <w:rPr>
          <w:rStyle w:val="markedcontent"/>
          <w:rFonts w:ascii="Times New Roman" w:hAnsi="Times New Roman" w:cs="Times New Roman"/>
        </w:rPr>
        <w:t>teljesítmény</w:t>
      </w:r>
      <w:r w:rsidRPr="00E92F8A">
        <w:rPr>
          <w:rStyle w:val="markedcontent"/>
          <w:rFonts w:ascii="Times New Roman" w:hAnsi="Times New Roman" w:cs="Times New Roman"/>
        </w:rPr>
        <w:t xml:space="preserve">javadalmazás (amely időszak megegyezik azzal a pénzügyi évvel, amelynek tekintetében megállapítják, hogy alkalmazható- a mentesség), és valamennyi olyan teljesítmény-időszakra megállapított éves </w:t>
      </w:r>
      <w:r>
        <w:rPr>
          <w:rStyle w:val="markedcontent"/>
          <w:rFonts w:ascii="Times New Roman" w:hAnsi="Times New Roman" w:cs="Times New Roman"/>
        </w:rPr>
        <w:t>teljesítmény</w:t>
      </w:r>
      <w:r w:rsidRPr="00E92F8A">
        <w:rPr>
          <w:rStyle w:val="markedcontent"/>
          <w:rFonts w:ascii="Times New Roman" w:hAnsi="Times New Roman" w:cs="Times New Roman"/>
        </w:rPr>
        <w:t>javadalmazás, amelyeknek ebben a pénzügyi évben lett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vége, függetlenül ezen teljesítmény-időszakoknak a hosszától</w:t>
      </w:r>
      <w:r>
        <w:rPr>
          <w:rStyle w:val="markedcontent"/>
          <w:rFonts w:ascii="Times New Roman" w:hAnsi="Times New Roman" w:cs="Times New Roman"/>
        </w:rPr>
        <w:t>.</w:t>
      </w:r>
    </w:p>
    <w:p w14:paraId="3C3C560C" w14:textId="15C1C7B5" w:rsidR="000D7CB0" w:rsidRDefault="000D7CB0" w:rsidP="00E92F8A">
      <w:pPr>
        <w:pStyle w:val="Default"/>
        <w:numPr>
          <w:ilvl w:val="0"/>
          <w:numId w:val="34"/>
        </w:numPr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 Bank az MNB ajánlás 113. és 114. pontban meghatározottak</w:t>
      </w:r>
      <w:r w:rsidRPr="000D7CB0">
        <w:rPr>
          <w:rStyle w:val="markedcontent"/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szerint a javadalmazás egyes</w:t>
      </w:r>
      <w:r w:rsidRPr="000D7CB0">
        <w:rPr>
          <w:rStyle w:val="markedcontent"/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összetevőit kizárhatja a teljesítményjavadalmazás köréből, és alapjavadalmazásként</w:t>
      </w:r>
      <w:r>
        <w:rPr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kezelheti a számítások során;</w:t>
      </w:r>
    </w:p>
    <w:p w14:paraId="5F546463" w14:textId="63700B4C" w:rsidR="0058710A" w:rsidRDefault="0058710A" w:rsidP="00E92F8A">
      <w:pPr>
        <w:pStyle w:val="Default"/>
        <w:numPr>
          <w:ilvl w:val="0"/>
          <w:numId w:val="34"/>
        </w:numPr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az egyes személyeknek kifizetett összegeknek az alapjavadalmazás és a teljesítményjavadalmazás</w:t>
      </w:r>
      <w:r w:rsidRPr="0058710A">
        <w:rPr>
          <w:rStyle w:val="markedcontent"/>
          <w:rFonts w:ascii="Times New Roman" w:hAnsi="Times New Roman" w:cs="Times New Roman"/>
        </w:rPr>
        <w:t xml:space="preserve"> MNB </w:t>
      </w:r>
      <w:r w:rsidRPr="00E92F8A">
        <w:rPr>
          <w:rStyle w:val="markedcontent"/>
          <w:rFonts w:ascii="Times New Roman" w:hAnsi="Times New Roman" w:cs="Times New Roman"/>
        </w:rPr>
        <w:t>ajánlásban foglalt fogalom</w:t>
      </w:r>
      <w:r>
        <w:rPr>
          <w:rStyle w:val="markedcontent"/>
          <w:rFonts w:ascii="Times New Roman" w:hAnsi="Times New Roman" w:cs="Times New Roman"/>
        </w:rPr>
        <w:t>-</w:t>
      </w:r>
      <w:r w:rsidRPr="00E92F8A">
        <w:rPr>
          <w:rStyle w:val="markedcontent"/>
          <w:rFonts w:ascii="Times New Roman" w:hAnsi="Times New Roman" w:cs="Times New Roman"/>
        </w:rPr>
        <w:t>meghatározásán kell alapulniuk, és a részükre</w:t>
      </w:r>
      <w:r>
        <w:rPr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megállapított bruttó javadalmazás alapján kell kiszámítani;</w:t>
      </w:r>
    </w:p>
    <w:p w14:paraId="38926FAF" w14:textId="77777777" w:rsidR="004F7EE3" w:rsidRDefault="0058710A" w:rsidP="00E92F8A">
      <w:pPr>
        <w:pStyle w:val="Default"/>
        <w:numPr>
          <w:ilvl w:val="0"/>
          <w:numId w:val="34"/>
        </w:numPr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E92F8A">
        <w:rPr>
          <w:rStyle w:val="markedcontent"/>
          <w:rFonts w:ascii="Times New Roman" w:hAnsi="Times New Roman" w:cs="Times New Roman"/>
        </w:rPr>
        <w:t>a teljesítményjavadalmazásnak a megállapított teljesítményjavadalmazás valamennyi</w:t>
      </w:r>
      <w:r w:rsidRPr="0058710A">
        <w:rPr>
          <w:rStyle w:val="markedcontent"/>
          <w:rFonts w:ascii="Times New Roman" w:hAnsi="Times New Roman" w:cs="Times New Roman"/>
        </w:rPr>
        <w:t xml:space="preserve"> </w:t>
      </w:r>
      <w:r w:rsidRPr="00E92F8A">
        <w:rPr>
          <w:rStyle w:val="markedcontent"/>
          <w:rFonts w:ascii="Times New Roman" w:hAnsi="Times New Roman" w:cs="Times New Roman"/>
        </w:rPr>
        <w:t>formáját magában kell foglalnia</w:t>
      </w:r>
      <w:r w:rsidR="006309CB">
        <w:rPr>
          <w:rStyle w:val="markedcontent"/>
          <w:rFonts w:ascii="Times New Roman" w:hAnsi="Times New Roman" w:cs="Times New Roman"/>
        </w:rPr>
        <w:t xml:space="preserve"> (pl.: megtartási bónusz, végkielégítés</w:t>
      </w:r>
      <w:r w:rsidR="00770BAB">
        <w:rPr>
          <w:rStyle w:val="markedcontent"/>
          <w:rFonts w:ascii="Times New Roman" w:hAnsi="Times New Roman" w:cs="Times New Roman"/>
        </w:rPr>
        <w:t>, nem kötelező nyugdíjjuttatások)</w:t>
      </w:r>
      <w:r w:rsidRPr="00E92F8A">
        <w:rPr>
          <w:rStyle w:val="markedcontent"/>
          <w:rFonts w:ascii="Times New Roman" w:hAnsi="Times New Roman" w:cs="Times New Roman"/>
        </w:rPr>
        <w:t>;</w:t>
      </w:r>
      <w:r w:rsidR="00B3696A">
        <w:rPr>
          <w:rStyle w:val="markedcontent"/>
          <w:rFonts w:ascii="Times New Roman" w:hAnsi="Times New Roman" w:cs="Times New Roman"/>
        </w:rPr>
        <w:t xml:space="preserve"> </w:t>
      </w:r>
    </w:p>
    <w:p w14:paraId="62E351A9" w14:textId="2A97A45D" w:rsidR="00E807DE" w:rsidRDefault="00E807DE" w:rsidP="00E92F8A">
      <w:pPr>
        <w:pStyle w:val="Default"/>
        <w:numPr>
          <w:ilvl w:val="0"/>
          <w:numId w:val="34"/>
        </w:numPr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a Bank által megállapított javadalmazást kell figyelembe venni;</w:t>
      </w:r>
    </w:p>
    <w:p w14:paraId="66724C2B" w14:textId="77777777" w:rsidR="001017B4" w:rsidRPr="0058710A" w:rsidRDefault="001017B4" w:rsidP="00B405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1F536FF" w14:textId="73637BDA" w:rsidR="00424D1A" w:rsidRPr="0028364C" w:rsidRDefault="00424D1A" w:rsidP="009019E6">
      <w:pPr>
        <w:pStyle w:val="Listaszerbekezds"/>
        <w:numPr>
          <w:ilvl w:val="0"/>
          <w:numId w:val="1"/>
        </w:numPr>
        <w:ind w:left="426" w:hanging="426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3" w:name="_Toc109047102"/>
      <w:r w:rsidRPr="0028364C">
        <w:rPr>
          <w:rFonts w:ascii="Times New Roman" w:hAnsi="Times New Roman" w:cs="Times New Roman"/>
          <w:b/>
          <w:sz w:val="28"/>
          <w:szCs w:val="28"/>
        </w:rPr>
        <w:t>Munkaviszony</w:t>
      </w:r>
      <w:r w:rsidR="005F101A" w:rsidRPr="0028364C">
        <w:rPr>
          <w:rFonts w:ascii="Times New Roman" w:hAnsi="Times New Roman" w:cs="Times New Roman"/>
          <w:b/>
          <w:sz w:val="28"/>
          <w:szCs w:val="28"/>
        </w:rPr>
        <w:t xml:space="preserve"> létesítése</w:t>
      </w:r>
      <w:r w:rsidRPr="002836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101A" w:rsidRPr="0028364C">
        <w:rPr>
          <w:rFonts w:ascii="Times New Roman" w:hAnsi="Times New Roman" w:cs="Times New Roman"/>
          <w:b/>
          <w:sz w:val="28"/>
          <w:szCs w:val="28"/>
        </w:rPr>
        <w:t xml:space="preserve">munkáltatói jog gyakorlója, </w:t>
      </w:r>
      <w:r w:rsidRPr="0028364C">
        <w:rPr>
          <w:rFonts w:ascii="Times New Roman" w:hAnsi="Times New Roman" w:cs="Times New Roman"/>
          <w:b/>
          <w:sz w:val="28"/>
          <w:szCs w:val="28"/>
        </w:rPr>
        <w:t>munkaviszony megszűntetés esetén járó juttatások</w:t>
      </w:r>
      <w:bookmarkEnd w:id="33"/>
    </w:p>
    <w:p w14:paraId="174BC183" w14:textId="77777777" w:rsidR="001519C5" w:rsidRPr="0028364C" w:rsidRDefault="001519C5" w:rsidP="001519C5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lang w:eastAsia="hu-HU"/>
        </w:rPr>
      </w:pPr>
    </w:p>
    <w:p w14:paraId="504B6F25" w14:textId="77777777" w:rsidR="007D49CE" w:rsidRPr="0028364C" w:rsidRDefault="005F101A" w:rsidP="009019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</w:t>
      </w:r>
      <w:r w:rsidR="007D49CE" w:rsidRPr="0028364C">
        <w:rPr>
          <w:rFonts w:ascii="Times New Roman" w:hAnsi="Times New Roman" w:cs="Times New Roman"/>
          <w:sz w:val="24"/>
          <w:szCs w:val="24"/>
        </w:rPr>
        <w:t>z Ügyvezetők személyét kivéve, a Bank v</w:t>
      </w:r>
      <w:r w:rsidR="00186901" w:rsidRPr="0028364C">
        <w:rPr>
          <w:rFonts w:ascii="Times New Roman" w:hAnsi="Times New Roman" w:cs="Times New Roman"/>
          <w:sz w:val="24"/>
          <w:szCs w:val="24"/>
        </w:rPr>
        <w:t>alamennyi alkalmazottja feletti</w:t>
      </w:r>
      <w:r w:rsidR="007D49CE" w:rsidRPr="0028364C">
        <w:rPr>
          <w:rFonts w:ascii="Times New Roman" w:hAnsi="Times New Roman" w:cs="Times New Roman"/>
          <w:sz w:val="24"/>
          <w:szCs w:val="24"/>
        </w:rPr>
        <w:t xml:space="preserve"> munkáltatói jogok gyakorlását a Vezérigazgató gyakorolja, mely jogkörét az SZMSZ keretei között esetileg átruházhatja. </w:t>
      </w:r>
    </w:p>
    <w:p w14:paraId="2826862D" w14:textId="3DD36779" w:rsidR="007D49CE" w:rsidRPr="0028364C" w:rsidRDefault="007D49CE" w:rsidP="009019E6">
      <w:pPr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 Bankkal munkajogi jogviszony írásba foglalt munkaszerződés megkötése útján létesíthető, mely aláírására kizárólag a munkáltatói jogokat gyakorló Vezérigazgató jogosult</w:t>
      </w:r>
      <w:r w:rsidR="00B3777F" w:rsidRPr="0028364C">
        <w:rPr>
          <w:rFonts w:ascii="Times New Roman" w:hAnsi="Times New Roman" w:cs="Times New Roman"/>
          <w:sz w:val="24"/>
          <w:szCs w:val="24"/>
        </w:rPr>
        <w:t xml:space="preserve">, ügyvezetők </w:t>
      </w:r>
      <w:r w:rsidR="00B3777F" w:rsidRPr="0028364C">
        <w:rPr>
          <w:rFonts w:ascii="Times New Roman" w:hAnsi="Times New Roman" w:cs="Times New Roman"/>
          <w:sz w:val="24"/>
          <w:szCs w:val="24"/>
        </w:rPr>
        <w:lastRenderedPageBreak/>
        <w:t>esetén pedig az Igazgatóság testületi döntése alapján annak két tagja jogosult.</w:t>
      </w:r>
      <w:r w:rsidRPr="0028364C">
        <w:rPr>
          <w:rFonts w:ascii="Times New Roman" w:hAnsi="Times New Roman" w:cs="Times New Roman"/>
          <w:sz w:val="24"/>
          <w:szCs w:val="24"/>
        </w:rPr>
        <w:t xml:space="preserve"> A munkaszerződés egy példányát a munkavállalónak belépésének napján át kell adni. </w:t>
      </w:r>
    </w:p>
    <w:p w14:paraId="65235649" w14:textId="58309B6C" w:rsidR="009019E6" w:rsidRDefault="005965EC" w:rsidP="009019E6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végkielégítés mértéke és kifizetése a Munka Törvénykönyvében, valamint az egyéni munkaszerződésekben meghatározottak szerint </w:t>
      </w:r>
      <w:r w:rsidRPr="003A660C">
        <w:rPr>
          <w:rFonts w:ascii="Times New Roman" w:hAnsi="Times New Roman" w:cs="Times New Roman"/>
          <w:sz w:val="24"/>
          <w:szCs w:val="24"/>
        </w:rPr>
        <w:t>történik. Az azonosított munkavállalók esetén a végkielégítés mértéke maximum 6 havi távolléti díj.</w:t>
      </w:r>
    </w:p>
    <w:p w14:paraId="6C23071C" w14:textId="77777777" w:rsidR="00E10D41" w:rsidRPr="0028364C" w:rsidRDefault="00E10D41" w:rsidP="009019E6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B21E8A" w14:textId="77777777" w:rsidR="001519C5" w:rsidRPr="0028364C" w:rsidRDefault="005900BF" w:rsidP="009019E6">
      <w:pPr>
        <w:pStyle w:val="Listaszerbekezds"/>
        <w:numPr>
          <w:ilvl w:val="0"/>
          <w:numId w:val="1"/>
        </w:numPr>
        <w:ind w:left="426" w:hanging="42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364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4" w:name="_Toc109047103"/>
      <w:r w:rsidR="00424D1A" w:rsidRPr="0028364C">
        <w:rPr>
          <w:rFonts w:ascii="Times New Roman" w:hAnsi="Times New Roman" w:cs="Times New Roman"/>
          <w:b/>
          <w:sz w:val="28"/>
          <w:szCs w:val="28"/>
        </w:rPr>
        <w:t xml:space="preserve">A javadalmazási </w:t>
      </w:r>
      <w:r w:rsidR="005E4C00" w:rsidRPr="0028364C">
        <w:rPr>
          <w:rFonts w:ascii="Times New Roman" w:hAnsi="Times New Roman" w:cs="Times New Roman"/>
          <w:b/>
          <w:sz w:val="28"/>
          <w:szCs w:val="28"/>
        </w:rPr>
        <w:t>Politika közzététele</w:t>
      </w:r>
      <w:bookmarkEnd w:id="34"/>
    </w:p>
    <w:p w14:paraId="274A5CD1" w14:textId="0385DBC0" w:rsidR="009D25C9" w:rsidRPr="0028364C" w:rsidRDefault="00713086" w:rsidP="009019E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lastRenderedPageBreak/>
        <w:t>A Javadalmazási Politika</w:t>
      </w:r>
      <w:r w:rsidR="009D25C9" w:rsidRPr="0028364C">
        <w:rPr>
          <w:rFonts w:ascii="Times New Roman" w:hAnsi="Times New Roman" w:cs="Times New Roman"/>
          <w:sz w:val="24"/>
          <w:szCs w:val="24"/>
        </w:rPr>
        <w:t xml:space="preserve"> a </w:t>
      </w:r>
      <w:r w:rsidR="00B53FE2">
        <w:rPr>
          <w:rFonts w:ascii="Times New Roman" w:hAnsi="Times New Roman" w:cs="Times New Roman"/>
          <w:sz w:val="24"/>
          <w:szCs w:val="24"/>
        </w:rPr>
        <w:t xml:space="preserve">Bank </w:t>
      </w:r>
      <w:r w:rsidR="009D25C9" w:rsidRPr="0028364C">
        <w:rPr>
          <w:rFonts w:ascii="Times New Roman" w:hAnsi="Times New Roman" w:cs="Times New Roman"/>
          <w:sz w:val="24"/>
          <w:szCs w:val="24"/>
        </w:rPr>
        <w:t>minden munkavállalója számára hozzáférhető, saját számítógépes felületén (intranet), vagy a</w:t>
      </w:r>
      <w:r w:rsidR="007E5B81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9D25C9" w:rsidRPr="0028364C">
        <w:rPr>
          <w:rFonts w:ascii="Times New Roman" w:hAnsi="Times New Roman" w:cs="Times New Roman"/>
          <w:sz w:val="24"/>
          <w:szCs w:val="24"/>
        </w:rPr>
        <w:t xml:space="preserve">szokásos módon történő közzététel útján.  </w:t>
      </w:r>
    </w:p>
    <w:p w14:paraId="6AD778BE" w14:textId="25FDE6F4" w:rsidR="00A448C3" w:rsidRDefault="009D25C9" w:rsidP="009019E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B53FE2">
        <w:rPr>
          <w:rFonts w:ascii="Times New Roman" w:hAnsi="Times New Roman" w:cs="Times New Roman"/>
          <w:sz w:val="24"/>
          <w:szCs w:val="24"/>
        </w:rPr>
        <w:t>Bank</w:t>
      </w:r>
      <w:r w:rsidR="00B53FE2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hAnsi="Times New Roman" w:cs="Times New Roman"/>
          <w:sz w:val="24"/>
          <w:szCs w:val="24"/>
        </w:rPr>
        <w:t xml:space="preserve">évente nyilvánosságra hozza Javadalmazási Politikájának lényeges elemeit, </w:t>
      </w:r>
      <w:r w:rsidR="00A50117" w:rsidRPr="0028364C">
        <w:rPr>
          <w:rFonts w:ascii="Times New Roman" w:hAnsi="Times New Roman" w:cs="Times New Roman"/>
          <w:sz w:val="24"/>
          <w:szCs w:val="24"/>
        </w:rPr>
        <w:t>és egyben</w:t>
      </w:r>
      <w:r w:rsidRPr="0028364C">
        <w:rPr>
          <w:rFonts w:ascii="Times New Roman" w:hAnsi="Times New Roman" w:cs="Times New Roman"/>
          <w:sz w:val="24"/>
          <w:szCs w:val="24"/>
        </w:rPr>
        <w:t xml:space="preserve"> teljesíti az alap- és teljesítményjavadalomhoz kapcsolódó MNB adatszolgáltatást</w:t>
      </w:r>
      <w:r w:rsidR="00AB008E">
        <w:rPr>
          <w:rFonts w:ascii="Times New Roman" w:hAnsi="Times New Roman" w:cs="Times New Roman"/>
          <w:sz w:val="24"/>
          <w:szCs w:val="24"/>
        </w:rPr>
        <w:t xml:space="preserve"> a vonatkozó jogszabályok alapján.</w:t>
      </w:r>
      <w:r w:rsidRPr="00283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57B75" w14:textId="77777777" w:rsidR="0059797D" w:rsidRDefault="0059797D" w:rsidP="009019E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0016A" w14:textId="50DF278F" w:rsidR="00424D1A" w:rsidRPr="0028364C" w:rsidRDefault="00424D1A" w:rsidP="009019E6">
      <w:pPr>
        <w:pStyle w:val="Listaszerbekezds"/>
        <w:numPr>
          <w:ilvl w:val="0"/>
          <w:numId w:val="1"/>
        </w:numPr>
        <w:ind w:left="426" w:hanging="426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5" w:name="_Toc109047104"/>
      <w:r w:rsidRPr="0028364C">
        <w:rPr>
          <w:rFonts w:ascii="Times New Roman" w:hAnsi="Times New Roman" w:cs="Times New Roman"/>
          <w:b/>
          <w:sz w:val="28"/>
          <w:szCs w:val="28"/>
        </w:rPr>
        <w:t xml:space="preserve">A Javadalmazási Politika </w:t>
      </w:r>
      <w:r w:rsidR="005E4C00" w:rsidRPr="0028364C">
        <w:rPr>
          <w:rFonts w:ascii="Times New Roman" w:hAnsi="Times New Roman" w:cs="Times New Roman"/>
          <w:b/>
          <w:sz w:val="28"/>
          <w:szCs w:val="28"/>
        </w:rPr>
        <w:t xml:space="preserve">ellenőrzése és </w:t>
      </w:r>
      <w:r w:rsidRPr="0028364C">
        <w:rPr>
          <w:rFonts w:ascii="Times New Roman" w:hAnsi="Times New Roman" w:cs="Times New Roman"/>
          <w:b/>
          <w:sz w:val="28"/>
          <w:szCs w:val="28"/>
        </w:rPr>
        <w:t>felülvizsgálata</w:t>
      </w:r>
      <w:bookmarkEnd w:id="35"/>
    </w:p>
    <w:p w14:paraId="1D832B08" w14:textId="77777777" w:rsidR="001519C5" w:rsidRDefault="001519C5" w:rsidP="001519C5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</w:p>
    <w:p w14:paraId="444F5419" w14:textId="77777777" w:rsidR="003F5EAE" w:rsidRPr="0028364C" w:rsidRDefault="003F5EAE" w:rsidP="003F5EAE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Az Igazgatóság látja el a jogszabályban és utasításban meghatározott, a Javadalmazási Politikával kapcsolatos ellenőrzési és végrehajtási feladatokat, így különösen:</w:t>
      </w:r>
    </w:p>
    <w:p w14:paraId="325A21A5" w14:textId="77777777" w:rsidR="003F5EAE" w:rsidRPr="0028364C" w:rsidRDefault="003F5EAE" w:rsidP="003F5EAE">
      <w:pPr>
        <w:pStyle w:val="Listaszerbekezds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felügyeli javadalmazási rendszer működését, meghatározza teljesítménymutatókat és ellenőrzi azok alakulását, </w:t>
      </w:r>
    </w:p>
    <w:p w14:paraId="46C97342" w14:textId="77777777" w:rsidR="003F5EAE" w:rsidRPr="0028364C" w:rsidRDefault="003F5EAE" w:rsidP="003F5EAE">
      <w:pPr>
        <w:pStyle w:val="Listaszerbekezds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>ellenőrzi és biztosítja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364C">
        <w:rPr>
          <w:rFonts w:ascii="Times New Roman" w:hAnsi="Times New Roman" w:cs="Times New Roman"/>
          <w:sz w:val="24"/>
          <w:szCs w:val="24"/>
        </w:rPr>
        <w:t xml:space="preserve"> hogy a Javadalmazási Politika valóban összhangban van-e az intézmény kockázataival, az biztosítja-e az intézmény stabil tőke és likviditási helyzetét és megfelelően támogatja a stratégia megvalósulását </w:t>
      </w:r>
    </w:p>
    <w:p w14:paraId="39578D49" w14:textId="77777777" w:rsidR="003F5EAE" w:rsidRPr="0028364C" w:rsidRDefault="003F5EAE" w:rsidP="003F5EA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ED3E8FB" w14:textId="77777777" w:rsidR="003F5EAE" w:rsidRDefault="003F5EAE" w:rsidP="003F5EAE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 A Felügyelő Bizottság fogadja el a végleges Javadalmazási Politikát, valamint felel annak felülvizsgálatáért</w:t>
      </w:r>
      <w:r>
        <w:rPr>
          <w:rFonts w:ascii="Times New Roman" w:hAnsi="Times New Roman" w:cs="Times New Roman"/>
          <w:sz w:val="24"/>
          <w:szCs w:val="24"/>
        </w:rPr>
        <w:t>, fenntartásáért</w:t>
      </w:r>
      <w:r w:rsidRPr="0028364C">
        <w:rPr>
          <w:rFonts w:ascii="Times New Roman" w:hAnsi="Times New Roman" w:cs="Times New Roman"/>
          <w:sz w:val="24"/>
          <w:szCs w:val="24"/>
        </w:rPr>
        <w:t>. A Javadalmazási Politika kialakításában és felülvizsgálatában külső szakértő vonható be.</w:t>
      </w:r>
    </w:p>
    <w:p w14:paraId="5A59DBBA" w14:textId="77777777" w:rsidR="003F5EAE" w:rsidRPr="0028364C" w:rsidRDefault="003F5EAE" w:rsidP="001519C5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</w:p>
    <w:p w14:paraId="74D8BEDF" w14:textId="309D9363" w:rsidR="003B7235" w:rsidRPr="0028364C" w:rsidRDefault="00F32EDC" w:rsidP="003B7235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="00E02678" w:rsidRPr="00E92F8A">
        <w:rPr>
          <w:rFonts w:ascii="Times New Roman" w:hAnsi="Times New Roman" w:cs="Times New Roman"/>
          <w:b/>
          <w:sz w:val="24"/>
          <w:szCs w:val="24"/>
        </w:rPr>
        <w:t>Humánerőforrás Osztály</w:t>
      </w:r>
      <w:r w:rsidR="00E02678" w:rsidRPr="0028364C">
        <w:rPr>
          <w:rFonts w:ascii="Times New Roman" w:hAnsi="Times New Roman" w:cs="Times New Roman"/>
          <w:sz w:val="24"/>
          <w:szCs w:val="24"/>
        </w:rPr>
        <w:t xml:space="preserve"> (továbbiakban: </w:t>
      </w:r>
      <w:r w:rsidRPr="0028364C">
        <w:rPr>
          <w:rFonts w:ascii="Times New Roman" w:hAnsi="Times New Roman" w:cs="Times New Roman"/>
          <w:sz w:val="24"/>
          <w:szCs w:val="24"/>
        </w:rPr>
        <w:t xml:space="preserve">HR </w:t>
      </w:r>
      <w:r w:rsidR="00954CB8" w:rsidRPr="0028364C">
        <w:rPr>
          <w:rFonts w:ascii="Times New Roman" w:hAnsi="Times New Roman" w:cs="Times New Roman"/>
          <w:sz w:val="24"/>
          <w:szCs w:val="24"/>
        </w:rPr>
        <w:t>Osztály</w:t>
      </w:r>
      <w:r w:rsidR="00E02678" w:rsidRPr="0028364C">
        <w:rPr>
          <w:rFonts w:ascii="Times New Roman" w:hAnsi="Times New Roman" w:cs="Times New Roman"/>
          <w:sz w:val="24"/>
          <w:szCs w:val="24"/>
        </w:rPr>
        <w:t>)</w:t>
      </w:r>
      <w:r w:rsidR="00954CB8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hAnsi="Times New Roman" w:cs="Times New Roman"/>
          <w:sz w:val="24"/>
          <w:szCs w:val="24"/>
        </w:rPr>
        <w:t xml:space="preserve">feladata a javadalmazáshoz kapcsolódó </w:t>
      </w:r>
      <w:r w:rsidR="007373B5" w:rsidRPr="0028364C">
        <w:rPr>
          <w:rFonts w:ascii="Times New Roman" w:hAnsi="Times New Roman" w:cs="Times New Roman"/>
          <w:sz w:val="24"/>
          <w:szCs w:val="24"/>
        </w:rPr>
        <w:t>szabályzatok, utasítások</w:t>
      </w:r>
      <w:r w:rsidRPr="0028364C">
        <w:rPr>
          <w:rFonts w:ascii="Times New Roman" w:hAnsi="Times New Roman" w:cs="Times New Roman"/>
          <w:sz w:val="24"/>
          <w:szCs w:val="24"/>
        </w:rPr>
        <w:t xml:space="preserve"> előkészítése, karbantartása, a Javadalmazási Politikát elfogadó és végrehajtó testületek – Igazgatóság, Felügyelő Bizottság – munkájának támogatása, azok megfelelő szintű tájékoztatása</w:t>
      </w:r>
      <w:r w:rsidR="005A6CEF" w:rsidRPr="0028364C">
        <w:rPr>
          <w:rFonts w:ascii="Times New Roman" w:hAnsi="Times New Roman" w:cs="Times New Roman"/>
          <w:sz w:val="24"/>
          <w:szCs w:val="24"/>
        </w:rPr>
        <w:t>. További feladata a Javadalmazási Politika alkalmazása kapcsán keletkező dokumentumok (azonosítás, értékelések, nyilvántartások) megőrzése.</w:t>
      </w:r>
      <w:r w:rsidR="003B7235">
        <w:rPr>
          <w:rFonts w:ascii="Times New Roman" w:hAnsi="Times New Roman" w:cs="Times New Roman"/>
          <w:sz w:val="24"/>
          <w:szCs w:val="24"/>
        </w:rPr>
        <w:t xml:space="preserve"> </w:t>
      </w:r>
      <w:r w:rsidR="003B7235" w:rsidRPr="0028364C">
        <w:rPr>
          <w:rFonts w:ascii="Times New Roman" w:hAnsi="Times New Roman" w:cs="Times New Roman"/>
          <w:sz w:val="24"/>
          <w:szCs w:val="24"/>
        </w:rPr>
        <w:t>A HR Osztály feladata a javadalmazási struktúra,</w:t>
      </w:r>
      <w:r w:rsidR="003F5EAE" w:rsidRPr="003F5EAE">
        <w:rPr>
          <w:rFonts w:ascii="Times New Roman" w:hAnsi="Times New Roman" w:cs="Times New Roman"/>
          <w:sz w:val="24"/>
          <w:szCs w:val="24"/>
        </w:rPr>
        <w:t xml:space="preserve"> </w:t>
      </w:r>
      <w:r w:rsidR="003F5EAE" w:rsidRPr="00C94161">
        <w:rPr>
          <w:rFonts w:ascii="Times New Roman" w:hAnsi="Times New Roman" w:cs="Times New Roman"/>
          <w:sz w:val="24"/>
          <w:szCs w:val="24"/>
        </w:rPr>
        <w:t>a nemi szempontból semleges jelleg szempontjai,</w:t>
      </w:r>
      <w:r w:rsidR="003F5EAE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3B7235" w:rsidRPr="0028364C">
        <w:rPr>
          <w:rFonts w:ascii="Times New Roman" w:hAnsi="Times New Roman" w:cs="Times New Roman"/>
          <w:sz w:val="24"/>
          <w:szCs w:val="24"/>
        </w:rPr>
        <w:t xml:space="preserve"> a javadalmazási szintek és ösztönző rendszerek kialakítása, értékelése</w:t>
      </w:r>
      <w:r w:rsidR="009B5730">
        <w:rPr>
          <w:rFonts w:ascii="Times New Roman" w:hAnsi="Times New Roman" w:cs="Times New Roman"/>
          <w:sz w:val="24"/>
          <w:szCs w:val="24"/>
        </w:rPr>
        <w:t xml:space="preserve"> annak érdekében, hogy ezáltal a javadalmazási politika kellően vonzó legyen a Bank számára szükséges munkavállalói kör kialakításához és megtartásához, illetve annak biztosítása érdekében, hogy a javadalmazási politika a</w:t>
      </w:r>
      <w:r w:rsidR="00BB0BCA">
        <w:rPr>
          <w:rFonts w:ascii="Times New Roman" w:hAnsi="Times New Roman" w:cs="Times New Roman"/>
          <w:sz w:val="24"/>
          <w:szCs w:val="24"/>
        </w:rPr>
        <w:t xml:space="preserve"> Bank</w:t>
      </w:r>
      <w:r w:rsidR="009B5730">
        <w:rPr>
          <w:rFonts w:ascii="Times New Roman" w:hAnsi="Times New Roman" w:cs="Times New Roman"/>
          <w:sz w:val="24"/>
          <w:szCs w:val="24"/>
        </w:rPr>
        <w:t xml:space="preserve"> kockázati profiljához igazodjon.</w:t>
      </w:r>
    </w:p>
    <w:p w14:paraId="1ACAC6F4" w14:textId="77777777" w:rsidR="005A6CEF" w:rsidRPr="0028364C" w:rsidRDefault="005A6CEF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3F3230" w14:textId="4BEE5BFA" w:rsidR="001519C5" w:rsidRDefault="00C7239C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7D30">
        <w:rPr>
          <w:rFonts w:ascii="Times New Roman" w:hAnsi="Times New Roman" w:cs="Times New Roman"/>
          <w:sz w:val="24"/>
          <w:szCs w:val="24"/>
        </w:rPr>
        <w:t xml:space="preserve">A </w:t>
      </w:r>
      <w:r w:rsidRPr="00C94161">
        <w:rPr>
          <w:rFonts w:ascii="Times New Roman" w:hAnsi="Times New Roman" w:cs="Times New Roman"/>
          <w:sz w:val="24"/>
          <w:szCs w:val="24"/>
        </w:rPr>
        <w:t xml:space="preserve">javadalmazási politika éves felülvizsgálatába dokumentáltan be kell vonni </w:t>
      </w:r>
      <w:r w:rsidRPr="00317D30">
        <w:rPr>
          <w:rFonts w:ascii="Times New Roman" w:hAnsi="Times New Roman" w:cs="Times New Roman"/>
          <w:sz w:val="24"/>
          <w:szCs w:val="24"/>
        </w:rPr>
        <w:t xml:space="preserve">a  </w:t>
      </w:r>
      <w:r w:rsidRPr="00D023C4">
        <w:rPr>
          <w:rFonts w:ascii="Times New Roman" w:hAnsi="Times New Roman" w:cs="Times New Roman"/>
          <w:sz w:val="24"/>
          <w:szCs w:val="24"/>
        </w:rPr>
        <w:t>releváns belső vállalati funkciókat képviselő szakterületek</w:t>
      </w:r>
      <w:r w:rsidRPr="00C94161">
        <w:rPr>
          <w:rFonts w:ascii="Times New Roman" w:hAnsi="Times New Roman" w:cs="Times New Roman"/>
          <w:sz w:val="24"/>
          <w:szCs w:val="24"/>
        </w:rPr>
        <w:t>et</w:t>
      </w:r>
      <w:r w:rsidRPr="00317D30">
        <w:rPr>
          <w:rFonts w:ascii="Times New Roman" w:hAnsi="Times New Roman" w:cs="Times New Roman"/>
          <w:sz w:val="24"/>
          <w:szCs w:val="24"/>
        </w:rPr>
        <w:t xml:space="preserve"> (humánerőforrás, jog, kockázatkezelés, </w:t>
      </w:r>
      <w:proofErr w:type="spellStart"/>
      <w:r w:rsidRPr="00317D30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317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D30">
        <w:rPr>
          <w:rFonts w:ascii="Times New Roman" w:hAnsi="Times New Roman" w:cs="Times New Roman"/>
          <w:sz w:val="24"/>
          <w:szCs w:val="24"/>
        </w:rPr>
        <w:t>controlling</w:t>
      </w:r>
      <w:proofErr w:type="spellEnd"/>
      <w:r w:rsidRPr="00317D30">
        <w:rPr>
          <w:rFonts w:ascii="Times New Roman" w:hAnsi="Times New Roman" w:cs="Times New Roman"/>
          <w:sz w:val="24"/>
          <w:szCs w:val="24"/>
        </w:rPr>
        <w:t>)</w:t>
      </w:r>
      <w:r w:rsidRPr="00C94161">
        <w:rPr>
          <w:rFonts w:ascii="Times New Roman" w:hAnsi="Times New Roman" w:cs="Times New Roman"/>
          <w:sz w:val="24"/>
          <w:szCs w:val="24"/>
        </w:rPr>
        <w:t>, valamint a Felügyelő Bizottságot, annak érdekében, hogy a javadalmazási politika megfelelően igazodjon a Bank kockázatkezelési stratégiájához és kocká</w:t>
      </w:r>
      <w:r w:rsidRPr="00C94161">
        <w:rPr>
          <w:rFonts w:ascii="Times New Roman" w:hAnsi="Times New Roman" w:cs="Times New Roman"/>
          <w:sz w:val="24"/>
          <w:szCs w:val="24"/>
        </w:rPr>
        <w:lastRenderedPageBreak/>
        <w:t>zatkezelési keretrendszeréhez.</w:t>
      </w:r>
      <w:r w:rsidR="002160AA" w:rsidRPr="0028364C">
        <w:rPr>
          <w:rFonts w:ascii="Times New Roman" w:hAnsi="Times New Roman" w:cs="Times New Roman"/>
          <w:sz w:val="24"/>
          <w:szCs w:val="24"/>
        </w:rPr>
        <w:t xml:space="preserve"> A felülvizsgálat során meg kell vizsgálni, hogy a hatályos Javadalmazási Politika megfelelően érvényesül-e a szervezet</w:t>
      </w:r>
      <w:r w:rsidR="007373B5" w:rsidRPr="0028364C">
        <w:rPr>
          <w:rFonts w:ascii="Times New Roman" w:hAnsi="Times New Roman" w:cs="Times New Roman"/>
          <w:sz w:val="24"/>
          <w:szCs w:val="24"/>
        </w:rPr>
        <w:t>en</w:t>
      </w:r>
      <w:r w:rsidR="002160AA" w:rsidRPr="0028364C">
        <w:rPr>
          <w:rFonts w:ascii="Times New Roman" w:hAnsi="Times New Roman" w:cs="Times New Roman"/>
          <w:sz w:val="24"/>
          <w:szCs w:val="24"/>
        </w:rPr>
        <w:t xml:space="preserve"> belül, illetve megfelel-e a jogszabályi elvárásoknak és előírásoknak</w:t>
      </w:r>
      <w:r w:rsidR="005A6CEF" w:rsidRPr="0028364C">
        <w:rPr>
          <w:rFonts w:ascii="Times New Roman" w:hAnsi="Times New Roman" w:cs="Times New Roman"/>
          <w:sz w:val="24"/>
          <w:szCs w:val="24"/>
        </w:rPr>
        <w:t xml:space="preserve"> valamint végrehajtásuk következetes összhangban van-e a kifizetések korlátozására vonatkozó követelmé</w:t>
      </w:r>
      <w:r w:rsidR="005A6CEF" w:rsidRPr="0028364C">
        <w:rPr>
          <w:rFonts w:ascii="Times New Roman" w:hAnsi="Times New Roman" w:cs="Times New Roman"/>
          <w:sz w:val="24"/>
          <w:szCs w:val="24"/>
        </w:rPr>
        <w:lastRenderedPageBreak/>
        <w:t>nyekkel, továbbá, hogy az nem jelent-e veszélyt a Bank biztonságos tőkehelyzetének fenntartására</w:t>
      </w:r>
      <w:r w:rsidR="002160AA" w:rsidRPr="0028364C">
        <w:rPr>
          <w:rFonts w:ascii="Times New Roman" w:hAnsi="Times New Roman" w:cs="Times New Roman"/>
          <w:sz w:val="24"/>
          <w:szCs w:val="24"/>
        </w:rPr>
        <w:t>.</w:t>
      </w:r>
    </w:p>
    <w:p w14:paraId="5EB88A73" w14:textId="77777777" w:rsidR="00C7239C" w:rsidRDefault="00C7239C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26D559" w14:textId="77777777" w:rsidR="00C7239C" w:rsidRPr="0028364C" w:rsidRDefault="00C7239C" w:rsidP="00C7239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92F8A">
        <w:rPr>
          <w:rFonts w:ascii="Times New Roman" w:hAnsi="Times New Roman" w:cs="Times New Roman"/>
          <w:b/>
          <w:sz w:val="24"/>
          <w:szCs w:val="24"/>
        </w:rPr>
        <w:t>belső kontroll funkció</w:t>
      </w:r>
      <w:r>
        <w:rPr>
          <w:rFonts w:ascii="Times New Roman" w:hAnsi="Times New Roman" w:cs="Times New Roman"/>
          <w:sz w:val="24"/>
          <w:szCs w:val="24"/>
        </w:rPr>
        <w:t xml:space="preserve"> a politika felülvizsgálatakor </w:t>
      </w:r>
      <w:r w:rsidRPr="003F0925">
        <w:rPr>
          <w:rFonts w:ascii="Times New Roman" w:hAnsi="Times New Roman" w:cs="Times New Roman"/>
          <w:sz w:val="24"/>
          <w:szCs w:val="24"/>
        </w:rPr>
        <w:t>megvizsgálja a</w:t>
      </w:r>
      <w:r>
        <w:rPr>
          <w:rFonts w:ascii="Times New Roman" w:hAnsi="Times New Roman" w:cs="Times New Roman"/>
          <w:sz w:val="24"/>
          <w:szCs w:val="24"/>
        </w:rPr>
        <w:t xml:space="preserve"> Bank </w:t>
      </w:r>
      <w:r w:rsidRPr="003F0925">
        <w:rPr>
          <w:rFonts w:ascii="Times New Roman" w:hAnsi="Times New Roman" w:cs="Times New Roman"/>
          <w:sz w:val="24"/>
          <w:szCs w:val="24"/>
        </w:rPr>
        <w:t>javadalmazási politikájának elfogadási folyamatát, felépítését, megvalósítását, valamint a kockázati profilra gyakorolt hatásait, továbbá azt, hogy a javadalmazási p</w:t>
      </w:r>
      <w:r>
        <w:rPr>
          <w:rFonts w:ascii="Times New Roman" w:hAnsi="Times New Roman" w:cs="Times New Roman"/>
          <w:sz w:val="24"/>
          <w:szCs w:val="24"/>
        </w:rPr>
        <w:t>olitika felülvizsgálatával</w:t>
      </w:r>
      <w:r w:rsidRPr="003F0925">
        <w:rPr>
          <w:rFonts w:ascii="Times New Roman" w:hAnsi="Times New Roman" w:cs="Times New Roman"/>
          <w:sz w:val="24"/>
          <w:szCs w:val="24"/>
        </w:rPr>
        <w:t xml:space="preserve"> összhangban hogyan kezeli ezeket a hatásokat.</w:t>
      </w:r>
    </w:p>
    <w:p w14:paraId="68A44CE5" w14:textId="77777777" w:rsidR="00C7239C" w:rsidRPr="0028364C" w:rsidRDefault="00C7239C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99D643" w14:textId="77777777" w:rsidR="006C01EF" w:rsidRPr="0028364C" w:rsidRDefault="006C01EF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BD8C73" w14:textId="124B5792" w:rsidR="006C01EF" w:rsidRPr="0028364C" w:rsidRDefault="006C01EF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Pr="00E92F8A">
        <w:rPr>
          <w:rFonts w:ascii="Times New Roman" w:hAnsi="Times New Roman" w:cs="Times New Roman"/>
          <w:b/>
          <w:sz w:val="24"/>
          <w:szCs w:val="24"/>
        </w:rPr>
        <w:t xml:space="preserve">Kockázatkezelés </w:t>
      </w:r>
      <w:r w:rsidRPr="0028364C">
        <w:rPr>
          <w:rFonts w:ascii="Times New Roman" w:hAnsi="Times New Roman" w:cs="Times New Roman"/>
          <w:sz w:val="24"/>
          <w:szCs w:val="24"/>
        </w:rPr>
        <w:t>feladata, hogy</w:t>
      </w:r>
      <w:r w:rsidR="00F51683">
        <w:rPr>
          <w:rFonts w:ascii="Times New Roman" w:hAnsi="Times New Roman" w:cs="Times New Roman"/>
          <w:sz w:val="24"/>
          <w:szCs w:val="24"/>
        </w:rPr>
        <w:t xml:space="preserve"> segítséget és</w:t>
      </w:r>
      <w:r w:rsidRPr="0028364C">
        <w:rPr>
          <w:rFonts w:ascii="Times New Roman" w:hAnsi="Times New Roman" w:cs="Times New Roman"/>
          <w:sz w:val="24"/>
          <w:szCs w:val="24"/>
        </w:rPr>
        <w:t xml:space="preserve"> információt nyújtson a megfelelő kockázattal kiigazított</w:t>
      </w:r>
      <w:r w:rsidR="00F51683">
        <w:rPr>
          <w:rFonts w:ascii="Times New Roman" w:hAnsi="Times New Roman" w:cs="Times New Roman"/>
          <w:sz w:val="24"/>
          <w:szCs w:val="24"/>
        </w:rPr>
        <w:t xml:space="preserve"> (beleértve az utólagos kiigazításokat)</w:t>
      </w:r>
      <w:r w:rsidRPr="0028364C">
        <w:rPr>
          <w:rFonts w:ascii="Times New Roman" w:hAnsi="Times New Roman" w:cs="Times New Roman"/>
          <w:sz w:val="24"/>
          <w:szCs w:val="24"/>
        </w:rPr>
        <w:t xml:space="preserve"> teljesítménymérők meghatározásához, illetve azok értékeléséhez</w:t>
      </w:r>
      <w:r w:rsidR="00F51683" w:rsidRPr="00C94161">
        <w:rPr>
          <w:rFonts w:ascii="Calibri" w:hAnsi="Calibri" w:cs="Calibri"/>
          <w:color w:val="000000"/>
          <w:sz w:val="23"/>
          <w:szCs w:val="23"/>
        </w:rPr>
        <w:t>, hogy milyen hatással van a teljesítményjavadalmazási struktúra az intézmény kockázati profiljára és kultúrájára.</w:t>
      </w:r>
      <w:r w:rsidRPr="0028364C">
        <w:rPr>
          <w:rFonts w:ascii="Times New Roman" w:hAnsi="Times New Roman" w:cs="Times New Roman"/>
          <w:sz w:val="24"/>
          <w:szCs w:val="24"/>
        </w:rPr>
        <w:t xml:space="preserve"> Kiszámítsa és jóváhagyja a kockázatokkal kiigazított adatokat, valamint részt vegyen a Felügyelő Bizottság javadalmazással kapcsolatban döntéseket hozó ülésein.</w:t>
      </w:r>
    </w:p>
    <w:p w14:paraId="2AC1F5E4" w14:textId="77777777" w:rsidR="006C01EF" w:rsidRPr="0028364C" w:rsidRDefault="006C01EF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02E4B2" w14:textId="6F6B3608" w:rsidR="0002356E" w:rsidRDefault="006C01EF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92F8A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28364C">
        <w:rPr>
          <w:rFonts w:ascii="Times New Roman" w:hAnsi="Times New Roman" w:cs="Times New Roman"/>
          <w:sz w:val="24"/>
          <w:szCs w:val="24"/>
        </w:rPr>
        <w:t xml:space="preserve"> feladata</w:t>
      </w:r>
      <w:r w:rsidR="007F2CF3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9244D0" w:rsidRPr="0028364C">
        <w:rPr>
          <w:rFonts w:ascii="Times New Roman" w:hAnsi="Times New Roman" w:cs="Times New Roman"/>
          <w:sz w:val="24"/>
          <w:szCs w:val="24"/>
        </w:rPr>
        <w:t>-</w:t>
      </w:r>
      <w:r w:rsid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7F2CF3" w:rsidRPr="0028364C">
        <w:rPr>
          <w:rFonts w:ascii="Times New Roman" w:hAnsi="Times New Roman" w:cs="Times New Roman"/>
          <w:sz w:val="24"/>
          <w:szCs w:val="24"/>
        </w:rPr>
        <w:t>a jogi szakterület bevonásával</w:t>
      </w:r>
      <w:r w:rsidR="005308C8">
        <w:rPr>
          <w:rFonts w:ascii="Times New Roman" w:hAnsi="Times New Roman" w:cs="Times New Roman"/>
          <w:sz w:val="24"/>
          <w:szCs w:val="24"/>
        </w:rPr>
        <w:t xml:space="preserve"> </w:t>
      </w:r>
      <w:r w:rsidR="009244D0" w:rsidRPr="0028364C">
        <w:rPr>
          <w:rFonts w:ascii="Times New Roman" w:hAnsi="Times New Roman" w:cs="Times New Roman"/>
          <w:sz w:val="24"/>
          <w:szCs w:val="24"/>
        </w:rPr>
        <w:t>-</w:t>
      </w:r>
      <w:r w:rsidR="0028364C">
        <w:rPr>
          <w:rFonts w:ascii="Times New Roman" w:hAnsi="Times New Roman" w:cs="Times New Roman"/>
          <w:sz w:val="24"/>
          <w:szCs w:val="24"/>
        </w:rPr>
        <w:t xml:space="preserve"> </w:t>
      </w:r>
      <w:r w:rsidRPr="0028364C">
        <w:rPr>
          <w:rFonts w:ascii="Times New Roman" w:hAnsi="Times New Roman" w:cs="Times New Roman"/>
          <w:sz w:val="24"/>
          <w:szCs w:val="24"/>
        </w:rPr>
        <w:t>, hogy elemezze a Javadalmazási P</w:t>
      </w:r>
      <w:r w:rsidR="00206D74" w:rsidRPr="0028364C">
        <w:rPr>
          <w:rFonts w:ascii="Times New Roman" w:hAnsi="Times New Roman" w:cs="Times New Roman"/>
          <w:sz w:val="24"/>
          <w:szCs w:val="24"/>
        </w:rPr>
        <w:t>olitika milyen hatást gyakorol a</w:t>
      </w:r>
      <w:r w:rsidR="00BB0BCA">
        <w:rPr>
          <w:rFonts w:ascii="Times New Roman" w:hAnsi="Times New Roman" w:cs="Times New Roman"/>
          <w:sz w:val="24"/>
          <w:szCs w:val="24"/>
        </w:rPr>
        <w:t xml:space="preserve"> Bank</w:t>
      </w:r>
      <w:r w:rsidR="00206D74" w:rsidRPr="0028364C">
        <w:rPr>
          <w:rFonts w:ascii="Times New Roman" w:hAnsi="Times New Roman" w:cs="Times New Roman"/>
          <w:sz w:val="24"/>
          <w:szCs w:val="24"/>
        </w:rPr>
        <w:t xml:space="preserve"> jogszabályoknak, belső szabályzatoknak, politikáknak, </w:t>
      </w:r>
      <w:r w:rsidR="0002356E" w:rsidRPr="0028364C">
        <w:rPr>
          <w:rFonts w:ascii="Times New Roman" w:hAnsi="Times New Roman" w:cs="Times New Roman"/>
          <w:sz w:val="24"/>
          <w:szCs w:val="24"/>
        </w:rPr>
        <w:t>valamint kockázati kultúrának való megfelelésére, és jelentse az ezektől való eltérésben rejlő valamennyi kockázatot az Igazgatóság és a Felügyelő Bizottság tagjai felé.</w:t>
      </w:r>
    </w:p>
    <w:p w14:paraId="4FBA67F7" w14:textId="77777777" w:rsidR="00F51683" w:rsidRPr="0028364C" w:rsidRDefault="00F51683" w:rsidP="00F5168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D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által tett </w:t>
      </w:r>
      <w:r w:rsidRPr="00C86FD2">
        <w:rPr>
          <w:rFonts w:ascii="Times New Roman" w:hAnsi="Times New Roman" w:cs="Times New Roman"/>
          <w:sz w:val="24"/>
          <w:szCs w:val="24"/>
        </w:rPr>
        <w:t>megállapítás</w:t>
      </w:r>
      <w:r>
        <w:rPr>
          <w:rFonts w:ascii="Times New Roman" w:hAnsi="Times New Roman" w:cs="Times New Roman"/>
          <w:sz w:val="24"/>
          <w:szCs w:val="24"/>
        </w:rPr>
        <w:t>okat</w:t>
      </w:r>
      <w:r w:rsidRPr="00C86FD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Felügyelő Bizottság </w:t>
      </w:r>
      <w:r w:rsidRPr="00C86FD2">
        <w:rPr>
          <w:rFonts w:ascii="Times New Roman" w:hAnsi="Times New Roman" w:cs="Times New Roman"/>
          <w:sz w:val="24"/>
          <w:szCs w:val="24"/>
        </w:rPr>
        <w:t xml:space="preserve">figyelembe </w:t>
      </w:r>
      <w:r>
        <w:rPr>
          <w:rFonts w:ascii="Times New Roman" w:hAnsi="Times New Roman" w:cs="Times New Roman"/>
          <w:sz w:val="24"/>
          <w:szCs w:val="24"/>
        </w:rPr>
        <w:t>kell vennie</w:t>
      </w:r>
      <w:r w:rsidRPr="00C86FD2">
        <w:rPr>
          <w:rFonts w:ascii="Times New Roman" w:hAnsi="Times New Roman" w:cs="Times New Roman"/>
          <w:sz w:val="24"/>
          <w:szCs w:val="24"/>
        </w:rPr>
        <w:t xml:space="preserve"> a javadalmazási politika jóváhagyása, felülvizsgálata és felügyelete során.</w:t>
      </w:r>
    </w:p>
    <w:p w14:paraId="000C7BB3" w14:textId="77777777" w:rsidR="0002356E" w:rsidRPr="0028364C" w:rsidRDefault="0002356E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B87D27" w14:textId="123A37E7" w:rsidR="000C470E" w:rsidRPr="0028364C" w:rsidRDefault="009A3373" w:rsidP="009A337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Pr="00E92F8A">
        <w:rPr>
          <w:rFonts w:ascii="Times New Roman" w:hAnsi="Times New Roman" w:cs="Times New Roman"/>
          <w:b/>
          <w:sz w:val="24"/>
          <w:szCs w:val="24"/>
        </w:rPr>
        <w:t xml:space="preserve">Kontrolling </w:t>
      </w:r>
      <w:r w:rsidR="000C470E" w:rsidRPr="00E92F8A">
        <w:rPr>
          <w:rFonts w:ascii="Times New Roman" w:hAnsi="Times New Roman" w:cs="Times New Roman"/>
          <w:b/>
          <w:sz w:val="24"/>
          <w:szCs w:val="24"/>
        </w:rPr>
        <w:t>és Tőkemenedzsment Szakterület</w:t>
      </w:r>
      <w:r w:rsidR="000C470E" w:rsidRPr="0028364C">
        <w:rPr>
          <w:rFonts w:ascii="Times New Roman" w:hAnsi="Times New Roman" w:cs="Times New Roman"/>
          <w:sz w:val="24"/>
          <w:szCs w:val="24"/>
        </w:rPr>
        <w:t xml:space="preserve"> (</w:t>
      </w:r>
      <w:r w:rsidR="001E4B5E" w:rsidRPr="0028364C">
        <w:rPr>
          <w:rFonts w:ascii="Times New Roman" w:hAnsi="Times New Roman" w:cs="Times New Roman"/>
          <w:sz w:val="24"/>
          <w:szCs w:val="24"/>
        </w:rPr>
        <w:t xml:space="preserve">továbbiakban: </w:t>
      </w:r>
      <w:r w:rsidR="000C470E" w:rsidRPr="0028364C">
        <w:rPr>
          <w:rFonts w:ascii="Times New Roman" w:hAnsi="Times New Roman" w:cs="Times New Roman"/>
          <w:sz w:val="24"/>
          <w:szCs w:val="24"/>
        </w:rPr>
        <w:t xml:space="preserve">KTSZ) </w:t>
      </w:r>
      <w:r w:rsidRPr="0028364C">
        <w:rPr>
          <w:rFonts w:ascii="Times New Roman" w:hAnsi="Times New Roman" w:cs="Times New Roman"/>
          <w:sz w:val="24"/>
          <w:szCs w:val="24"/>
        </w:rPr>
        <w:t>feladata, hogy</w:t>
      </w:r>
      <w:r w:rsidR="000C470E" w:rsidRPr="0028364C">
        <w:rPr>
          <w:rFonts w:ascii="Times New Roman" w:hAnsi="Times New Roman" w:cs="Times New Roman"/>
          <w:sz w:val="24"/>
          <w:szCs w:val="24"/>
        </w:rPr>
        <w:t xml:space="preserve"> az Ügyvezetés iránymutatása alapján,</w:t>
      </w:r>
      <w:r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0C470E" w:rsidRPr="0028364C">
        <w:rPr>
          <w:rFonts w:ascii="Times New Roman" w:hAnsi="Times New Roman" w:cs="Times New Roman"/>
          <w:sz w:val="24"/>
          <w:szCs w:val="24"/>
        </w:rPr>
        <w:t>a Kockázatkezelési Szakterülettel egyeztetve, február</w:t>
      </w:r>
      <w:r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0C470E" w:rsidRPr="0028364C">
        <w:rPr>
          <w:rFonts w:ascii="Times New Roman" w:hAnsi="Times New Roman" w:cs="Times New Roman"/>
          <w:sz w:val="24"/>
          <w:szCs w:val="24"/>
        </w:rPr>
        <w:t xml:space="preserve">utolsó munkanapjáig meghatározza azokat </w:t>
      </w:r>
      <w:r w:rsidRPr="0028364C">
        <w:rPr>
          <w:rFonts w:ascii="Times New Roman" w:hAnsi="Times New Roman" w:cs="Times New Roman"/>
          <w:sz w:val="24"/>
          <w:szCs w:val="24"/>
        </w:rPr>
        <w:t>az objektív mutatókat</w:t>
      </w:r>
      <w:r w:rsidR="000C470E" w:rsidRPr="0028364C">
        <w:rPr>
          <w:rFonts w:ascii="Times New Roman" w:hAnsi="Times New Roman" w:cs="Times New Roman"/>
          <w:sz w:val="24"/>
          <w:szCs w:val="24"/>
        </w:rPr>
        <w:t>, amelyek a tárgyévi értékelés alapjául szolgálnak majd.</w:t>
      </w:r>
      <w:r w:rsidRPr="002836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D47F82" w14:textId="77777777" w:rsidR="000C470E" w:rsidRPr="0028364C" w:rsidRDefault="000C470E" w:rsidP="009A337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FBB575" w14:textId="747B4C13" w:rsidR="009A3373" w:rsidRPr="0028364C" w:rsidRDefault="000C470E" w:rsidP="009A337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64C">
        <w:rPr>
          <w:rFonts w:ascii="Times New Roman" w:hAnsi="Times New Roman" w:cs="Times New Roman"/>
          <w:sz w:val="24"/>
          <w:szCs w:val="24"/>
        </w:rPr>
        <w:t>A KTSZ t</w:t>
      </w:r>
      <w:r w:rsidR="009A3373" w:rsidRPr="0028364C">
        <w:rPr>
          <w:rFonts w:ascii="Times New Roman" w:hAnsi="Times New Roman" w:cs="Times New Roman"/>
          <w:sz w:val="24"/>
          <w:szCs w:val="24"/>
        </w:rPr>
        <w:t>ovábbi feladata</w:t>
      </w:r>
      <w:r w:rsidR="001E4B5E" w:rsidRPr="0028364C">
        <w:rPr>
          <w:rFonts w:ascii="Times New Roman" w:hAnsi="Times New Roman" w:cs="Times New Roman"/>
          <w:sz w:val="24"/>
          <w:szCs w:val="24"/>
        </w:rPr>
        <w:t>, hogy</w:t>
      </w:r>
      <w:r w:rsidR="009A3373" w:rsidRPr="0028364C">
        <w:rPr>
          <w:rFonts w:ascii="Times New Roman" w:hAnsi="Times New Roman" w:cs="Times New Roman"/>
          <w:sz w:val="24"/>
          <w:szCs w:val="24"/>
        </w:rPr>
        <w:t xml:space="preserve"> az első negyedév utolsó napján </w:t>
      </w:r>
      <w:r w:rsidRPr="0028364C">
        <w:rPr>
          <w:rFonts w:ascii="Times New Roman" w:hAnsi="Times New Roman" w:cs="Times New Roman"/>
          <w:sz w:val="24"/>
          <w:szCs w:val="24"/>
        </w:rPr>
        <w:t xml:space="preserve">ismert, előző évi </w:t>
      </w:r>
      <w:r w:rsidR="009A3373" w:rsidRPr="0028364C">
        <w:rPr>
          <w:rFonts w:ascii="Times New Roman" w:hAnsi="Times New Roman" w:cs="Times New Roman"/>
          <w:sz w:val="24"/>
          <w:szCs w:val="24"/>
        </w:rPr>
        <w:t xml:space="preserve">előzetes, nem </w:t>
      </w:r>
      <w:proofErr w:type="spellStart"/>
      <w:r w:rsidR="009A3373" w:rsidRPr="0028364C">
        <w:rPr>
          <w:rFonts w:ascii="Times New Roman" w:hAnsi="Times New Roman" w:cs="Times New Roman"/>
          <w:sz w:val="24"/>
          <w:szCs w:val="24"/>
        </w:rPr>
        <w:t>auditált</w:t>
      </w:r>
      <w:proofErr w:type="spellEnd"/>
      <w:r w:rsidR="009A3373" w:rsidRPr="0028364C">
        <w:rPr>
          <w:rFonts w:ascii="Times New Roman" w:hAnsi="Times New Roman" w:cs="Times New Roman"/>
          <w:sz w:val="24"/>
          <w:szCs w:val="24"/>
        </w:rPr>
        <w:t xml:space="preserve"> számok alapján </w:t>
      </w:r>
      <w:r w:rsidRPr="0028364C">
        <w:rPr>
          <w:rFonts w:ascii="Times New Roman" w:hAnsi="Times New Roman" w:cs="Times New Roman"/>
          <w:sz w:val="24"/>
          <w:szCs w:val="24"/>
        </w:rPr>
        <w:t xml:space="preserve">kiszámítsa az előző évre érvényes teljesítmény értékelési és mozgóbérezési rendszerben alkalmazott mutatók aktuális értékét. </w:t>
      </w:r>
    </w:p>
    <w:p w14:paraId="18F4D933" w14:textId="12C7E6E4" w:rsidR="00FF3CFE" w:rsidRPr="0028364C" w:rsidRDefault="00FF3CFE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F23F64" w14:textId="043D4762" w:rsidR="00430C6E" w:rsidRDefault="0002356E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</w:t>
      </w:r>
      <w:r w:rsidRPr="00E92F8A">
        <w:rPr>
          <w:rFonts w:ascii="Times New Roman" w:hAnsi="Times New Roman" w:cs="Times New Roman"/>
          <w:b/>
          <w:sz w:val="24"/>
          <w:szCs w:val="24"/>
        </w:rPr>
        <w:t xml:space="preserve">Kockázatkezelésnek és a </w:t>
      </w:r>
      <w:proofErr w:type="spellStart"/>
      <w:r w:rsidRPr="00E92F8A">
        <w:rPr>
          <w:rFonts w:ascii="Times New Roman" w:hAnsi="Times New Roman" w:cs="Times New Roman"/>
          <w:b/>
          <w:sz w:val="24"/>
          <w:szCs w:val="24"/>
        </w:rPr>
        <w:t>Compliance-nek</w:t>
      </w:r>
      <w:proofErr w:type="spellEnd"/>
      <w:r w:rsidRPr="0028364C">
        <w:rPr>
          <w:rFonts w:ascii="Times New Roman" w:hAnsi="Times New Roman" w:cs="Times New Roman"/>
          <w:sz w:val="24"/>
          <w:szCs w:val="24"/>
        </w:rPr>
        <w:t xml:space="preserve"> részt kell venniük a teljesítményjavadalmazási keretek és az azokhoz kapcsolódó kritériumok meghatározásában valamint a javadalmazások megállapításában. Jelezniük kell</w:t>
      </w:r>
      <w:r w:rsidR="00430C6E" w:rsidRPr="0028364C">
        <w:rPr>
          <w:rFonts w:ascii="Times New Roman" w:hAnsi="Times New Roman" w:cs="Times New Roman"/>
          <w:sz w:val="24"/>
          <w:szCs w:val="24"/>
        </w:rPr>
        <w:t xml:space="preserve"> az Igazgatóság felé amennyiben a teljesítményjavadalmazási kereteknek, a hozzájuk kapcsolódó kritériumoknak vagy magának a javadalmazásnak negatív hatása lehet a munkavállalók viselkedésére vagy a folytatott üzleti tevékenység kockázatosságára.</w:t>
      </w:r>
    </w:p>
    <w:p w14:paraId="7E03BA42" w14:textId="77777777" w:rsidR="00F51683" w:rsidRDefault="00F51683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C2B2AA" w14:textId="77777777" w:rsidR="00F51683" w:rsidRPr="003F0925" w:rsidRDefault="00F51683" w:rsidP="00F5168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Bank a </w:t>
      </w:r>
      <w:r w:rsidRPr="00F61A47">
        <w:rPr>
          <w:rFonts w:ascii="Times New Roman" w:hAnsi="Times New Roman" w:cs="Times New Roman"/>
          <w:sz w:val="24"/>
          <w:szCs w:val="24"/>
        </w:rPr>
        <w:t xml:space="preserve">javadalmazási politikáit és gyakorlatait legalább évente egy központi és független </w:t>
      </w:r>
      <w:r w:rsidRPr="00E92F8A">
        <w:rPr>
          <w:rFonts w:ascii="Times New Roman" w:hAnsi="Times New Roman" w:cs="Times New Roman"/>
          <w:b/>
          <w:sz w:val="24"/>
          <w:szCs w:val="24"/>
        </w:rPr>
        <w:t>belső felülvizsgálat</w:t>
      </w:r>
      <w:r w:rsidRPr="00F51683">
        <w:rPr>
          <w:rFonts w:ascii="Times New Roman" w:hAnsi="Times New Roman" w:cs="Times New Roman"/>
          <w:sz w:val="24"/>
          <w:szCs w:val="24"/>
        </w:rPr>
        <w:t>nak</w:t>
      </w:r>
      <w:r>
        <w:rPr>
          <w:rFonts w:ascii="Times New Roman" w:hAnsi="Times New Roman" w:cs="Times New Roman"/>
          <w:sz w:val="24"/>
          <w:szCs w:val="24"/>
        </w:rPr>
        <w:t xml:space="preserve"> veti alá. </w:t>
      </w:r>
      <w:r w:rsidRPr="00F61A47">
        <w:rPr>
          <w:rFonts w:ascii="Times New Roman" w:hAnsi="Times New Roman" w:cs="Times New Roman"/>
          <w:sz w:val="24"/>
          <w:szCs w:val="24"/>
        </w:rPr>
        <w:t>A javadalmazási politika vizsgálatot a független belső ellenőrzésnek kell lefolytatnia.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61A47">
        <w:rPr>
          <w:rFonts w:ascii="Times New Roman" w:hAnsi="Times New Roman" w:cs="Times New Roman"/>
          <w:sz w:val="24"/>
          <w:szCs w:val="24"/>
        </w:rPr>
        <w:t xml:space="preserve"> felülvizsgálat magában </w:t>
      </w:r>
      <w:r>
        <w:rPr>
          <w:rFonts w:ascii="Times New Roman" w:hAnsi="Times New Roman" w:cs="Times New Roman"/>
          <w:sz w:val="24"/>
          <w:szCs w:val="24"/>
        </w:rPr>
        <w:t>foglalja</w:t>
      </w:r>
      <w:r w:rsidRPr="00F61A47">
        <w:rPr>
          <w:rFonts w:ascii="Times New Roman" w:hAnsi="Times New Roman" w:cs="Times New Roman"/>
          <w:sz w:val="24"/>
          <w:szCs w:val="24"/>
        </w:rPr>
        <w:t xml:space="preserve"> annak elemzését, hogy a javadalmazási politika nemi szempontból semleges-e.</w:t>
      </w:r>
      <w:r>
        <w:rPr>
          <w:rFonts w:ascii="Times New Roman" w:hAnsi="Times New Roman" w:cs="Times New Roman"/>
          <w:sz w:val="24"/>
          <w:szCs w:val="24"/>
        </w:rPr>
        <w:t xml:space="preserve"> A felülvizsgálat keretében a Bank </w:t>
      </w:r>
      <w:r w:rsidRPr="003F0925">
        <w:rPr>
          <w:rFonts w:ascii="Times New Roman" w:hAnsi="Times New Roman" w:cs="Times New Roman"/>
          <w:sz w:val="24"/>
          <w:szCs w:val="24"/>
        </w:rPr>
        <w:t xml:space="preserve">nyomon </w:t>
      </w:r>
      <w:r>
        <w:rPr>
          <w:rFonts w:ascii="Times New Roman" w:hAnsi="Times New Roman" w:cs="Times New Roman"/>
          <w:sz w:val="24"/>
          <w:szCs w:val="24"/>
        </w:rPr>
        <w:t xml:space="preserve">követi </w:t>
      </w:r>
      <w:r w:rsidRPr="003F0925">
        <w:rPr>
          <w:rFonts w:ascii="Times New Roman" w:hAnsi="Times New Roman" w:cs="Times New Roman"/>
          <w:sz w:val="24"/>
          <w:szCs w:val="24"/>
        </w:rPr>
        <w:t>a nemek közötti bérkülönbséget a következő bontásban:</w:t>
      </w:r>
    </w:p>
    <w:p w14:paraId="0B4CF3DC" w14:textId="77777777" w:rsidR="00F51683" w:rsidRPr="003F0925" w:rsidRDefault="00F51683" w:rsidP="00F5168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925">
        <w:rPr>
          <w:rFonts w:ascii="Times New Roman" w:hAnsi="Times New Roman" w:cs="Times New Roman"/>
          <w:sz w:val="24"/>
          <w:szCs w:val="24"/>
        </w:rPr>
        <w:lastRenderedPageBreak/>
        <w:t>a) azonosított munkavállalók, a vezető testületek tagjai nélkül;</w:t>
      </w:r>
    </w:p>
    <w:p w14:paraId="2233F912" w14:textId="77777777" w:rsidR="00F51683" w:rsidRPr="003F0925" w:rsidRDefault="00F51683" w:rsidP="00F5168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925">
        <w:rPr>
          <w:rFonts w:ascii="Times New Roman" w:hAnsi="Times New Roman" w:cs="Times New Roman"/>
          <w:sz w:val="24"/>
          <w:szCs w:val="24"/>
        </w:rPr>
        <w:lastRenderedPageBreak/>
        <w:t>b) az irányítási jogkörrel rendelkező vezető testület tagjai;</w:t>
      </w:r>
    </w:p>
    <w:p w14:paraId="3EE6D938" w14:textId="77777777" w:rsidR="00F51683" w:rsidRPr="003F0925" w:rsidRDefault="00F51683" w:rsidP="00F5168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925">
        <w:rPr>
          <w:rFonts w:ascii="Times New Roman" w:hAnsi="Times New Roman" w:cs="Times New Roman"/>
          <w:sz w:val="24"/>
          <w:szCs w:val="24"/>
        </w:rPr>
        <w:t>c) a felügyeleti jogkörrel rendelkező vezető testület tagjai; és</w:t>
      </w:r>
    </w:p>
    <w:p w14:paraId="3927FD3B" w14:textId="77777777" w:rsidR="00F51683" w:rsidRPr="003F0925" w:rsidRDefault="00F51683" w:rsidP="00F5168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925">
        <w:rPr>
          <w:rFonts w:ascii="Times New Roman" w:hAnsi="Times New Roman" w:cs="Times New Roman"/>
          <w:sz w:val="24"/>
          <w:szCs w:val="24"/>
        </w:rPr>
        <w:t>d) egyéb munkavállalók.</w:t>
      </w:r>
    </w:p>
    <w:p w14:paraId="4E2A89A3" w14:textId="77777777" w:rsidR="00F51683" w:rsidRDefault="00F51683" w:rsidP="00F51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Bank, </w:t>
      </w:r>
      <w:r w:rsidRPr="00F61A47">
        <w:rPr>
          <w:rFonts w:ascii="Times New Roman" w:hAnsi="Times New Roman" w:cs="Times New Roman"/>
          <w:sz w:val="24"/>
          <w:szCs w:val="24"/>
        </w:rPr>
        <w:t>amennyiben jelentős különbségek állnak fenn a férfi és női munkavállalók átlagos fizetése, illetve a vezető testület férfi és női tagjainak átlagos fizetése között, az intézmény dokumentálja ennek fő okait, és megfelelő intézkedéseket hozzon a különbség kiküszöbölésére, vagy képes legyen annak bizonyítására, hogy a különbség oka nem az, hogy a javadalmazási politika nemi szempontból nem semleges.</w:t>
      </w:r>
    </w:p>
    <w:p w14:paraId="50EF1DD0" w14:textId="77777777" w:rsidR="00F51683" w:rsidRDefault="00F51683" w:rsidP="00F5168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fentieken túl a B</w:t>
      </w:r>
      <w:r w:rsidRPr="003F0925">
        <w:rPr>
          <w:rFonts w:ascii="Times New Roman" w:hAnsi="Times New Roman" w:cs="Times New Roman"/>
          <w:sz w:val="24"/>
          <w:szCs w:val="24"/>
        </w:rPr>
        <w:t xml:space="preserve">első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F0925">
        <w:rPr>
          <w:rFonts w:ascii="Times New Roman" w:hAnsi="Times New Roman" w:cs="Times New Roman"/>
          <w:sz w:val="24"/>
          <w:szCs w:val="24"/>
        </w:rPr>
        <w:t>llenőrzés évente ellenőrzi a javada</w:t>
      </w:r>
      <w:r>
        <w:rPr>
          <w:rFonts w:ascii="Times New Roman" w:hAnsi="Times New Roman" w:cs="Times New Roman"/>
          <w:sz w:val="24"/>
          <w:szCs w:val="24"/>
        </w:rPr>
        <w:t xml:space="preserve">lmazási politika végrehajtását, </w:t>
      </w:r>
      <w:r w:rsidRPr="003F0925">
        <w:rPr>
          <w:rFonts w:ascii="Times New Roman" w:hAnsi="Times New Roman" w:cs="Times New Roman"/>
          <w:sz w:val="24"/>
          <w:szCs w:val="24"/>
        </w:rPr>
        <w:t>a Hpt. vonatkozó szabályainak való teljes megfelelés érdekében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0925">
        <w:rPr>
          <w:rFonts w:ascii="Times New Roman" w:hAnsi="Times New Roman" w:cs="Times New Roman"/>
          <w:sz w:val="24"/>
          <w:szCs w:val="24"/>
        </w:rPr>
        <w:t xml:space="preserve">esetenként külső szakértő igénybevételével. </w:t>
      </w:r>
    </w:p>
    <w:p w14:paraId="0057881D" w14:textId="77777777" w:rsidR="00F51683" w:rsidRPr="003F0925" w:rsidRDefault="00F51683" w:rsidP="00F5168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Bank javadalmazási politika </w:t>
      </w:r>
      <w:r w:rsidRPr="003F0925">
        <w:rPr>
          <w:rFonts w:ascii="Times New Roman" w:hAnsi="Times New Roman" w:cs="Times New Roman"/>
          <w:sz w:val="24"/>
          <w:szCs w:val="24"/>
        </w:rPr>
        <w:t>felülvizsgálat</w:t>
      </w:r>
      <w:r>
        <w:rPr>
          <w:rFonts w:ascii="Times New Roman" w:hAnsi="Times New Roman" w:cs="Times New Roman"/>
          <w:sz w:val="24"/>
          <w:szCs w:val="24"/>
        </w:rPr>
        <w:t>ának</w:t>
      </w:r>
      <w:r w:rsidRPr="003F0925">
        <w:rPr>
          <w:rFonts w:ascii="Times New Roman" w:hAnsi="Times New Roman" w:cs="Times New Roman"/>
          <w:sz w:val="24"/>
          <w:szCs w:val="24"/>
        </w:rPr>
        <w:t xml:space="preserve"> részeként értékel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F0925">
        <w:rPr>
          <w:rFonts w:ascii="Times New Roman" w:hAnsi="Times New Roman" w:cs="Times New Roman"/>
          <w:sz w:val="24"/>
          <w:szCs w:val="24"/>
        </w:rPr>
        <w:t>, hogy a javadalmazási politik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F09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F0925">
        <w:rPr>
          <w:rFonts w:ascii="Times New Roman" w:hAnsi="Times New Roman" w:cs="Times New Roman"/>
          <w:sz w:val="24"/>
          <w:szCs w:val="24"/>
        </w:rPr>
        <w:t>gyakorlatok és folyamatok</w:t>
      </w:r>
    </w:p>
    <w:p w14:paraId="390D61F4" w14:textId="77777777" w:rsidR="00F51683" w:rsidRPr="003F0925" w:rsidRDefault="00F51683" w:rsidP="00F51683">
      <w:pPr>
        <w:pStyle w:val="Listaszerbekezds"/>
        <w:numPr>
          <w:ilvl w:val="0"/>
          <w:numId w:val="36"/>
        </w:numPr>
        <w:ind w:left="426" w:hanging="246"/>
        <w:jc w:val="both"/>
        <w:rPr>
          <w:rFonts w:ascii="Times New Roman" w:hAnsi="Times New Roman" w:cs="Times New Roman"/>
          <w:sz w:val="24"/>
          <w:szCs w:val="24"/>
        </w:rPr>
      </w:pPr>
      <w:r w:rsidRPr="003F0925">
        <w:rPr>
          <w:rFonts w:ascii="Times New Roman" w:hAnsi="Times New Roman" w:cs="Times New Roman"/>
          <w:sz w:val="24"/>
          <w:szCs w:val="24"/>
        </w:rPr>
        <w:t>a rendeltetésüknek megfelelően működnek (így különösen megfelelnek a jóváhagyott politikáknak, eljárásoknak és belső szabályoknak, a javadalmazások kifizetése megfelelő és összhangban van az üzleti stratégiával, valamint megfelelően tükrözik az intézmény kockázati profilját, hosszú távú célkitűzéseit és egyéb céljait);</w:t>
      </w:r>
    </w:p>
    <w:p w14:paraId="5173A7EE" w14:textId="77777777" w:rsidR="00F51683" w:rsidRPr="003F0925" w:rsidRDefault="00F51683" w:rsidP="00F51683">
      <w:pPr>
        <w:pStyle w:val="Listaszerbekezds"/>
        <w:numPr>
          <w:ilvl w:val="0"/>
          <w:numId w:val="37"/>
        </w:numPr>
        <w:ind w:left="426" w:hanging="246"/>
        <w:jc w:val="both"/>
        <w:rPr>
          <w:rFonts w:ascii="Times New Roman" w:hAnsi="Times New Roman" w:cs="Times New Roman"/>
          <w:sz w:val="24"/>
          <w:szCs w:val="24"/>
        </w:rPr>
      </w:pPr>
      <w:r w:rsidRPr="003F0925">
        <w:rPr>
          <w:rFonts w:ascii="Times New Roman" w:hAnsi="Times New Roman" w:cs="Times New Roman"/>
          <w:sz w:val="24"/>
          <w:szCs w:val="24"/>
        </w:rPr>
        <w:t>megfelelnek a hazai és nemzetközi jogszabályoknak, elveknek és sztenderdeknek;</w:t>
      </w:r>
    </w:p>
    <w:p w14:paraId="5CFE38F7" w14:textId="77777777" w:rsidR="00F51683" w:rsidRDefault="00F51683" w:rsidP="00F51683">
      <w:pPr>
        <w:pStyle w:val="Listaszerbekezds"/>
        <w:numPr>
          <w:ilvl w:val="0"/>
          <w:numId w:val="37"/>
        </w:numPr>
        <w:ind w:left="426" w:hanging="246"/>
        <w:jc w:val="both"/>
        <w:rPr>
          <w:rFonts w:ascii="Times New Roman" w:hAnsi="Times New Roman" w:cs="Times New Roman"/>
          <w:sz w:val="24"/>
          <w:szCs w:val="24"/>
        </w:rPr>
      </w:pPr>
      <w:r w:rsidRPr="003F0925">
        <w:rPr>
          <w:rFonts w:ascii="Times New Roman" w:hAnsi="Times New Roman" w:cs="Times New Roman"/>
          <w:sz w:val="24"/>
          <w:szCs w:val="24"/>
        </w:rPr>
        <w:t>végrehajtásuk következetes, összhangban vannak a kifizetések korlátozására vonatkozó, a Hpt. 94. és 96/A. §</w:t>
      </w:r>
      <w:proofErr w:type="spellStart"/>
      <w:r w:rsidRPr="003F0925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3F0925">
        <w:rPr>
          <w:rFonts w:ascii="Times New Roman" w:hAnsi="Times New Roman" w:cs="Times New Roman"/>
          <w:sz w:val="24"/>
          <w:szCs w:val="24"/>
        </w:rPr>
        <w:t xml:space="preserve">, illetve a </w:t>
      </w:r>
      <w:proofErr w:type="spellStart"/>
      <w:r w:rsidRPr="003F0925">
        <w:rPr>
          <w:rFonts w:ascii="Times New Roman" w:hAnsi="Times New Roman" w:cs="Times New Roman"/>
          <w:sz w:val="24"/>
          <w:szCs w:val="24"/>
        </w:rPr>
        <w:t>Szantv</w:t>
      </w:r>
      <w:proofErr w:type="spellEnd"/>
      <w:r w:rsidRPr="003F0925">
        <w:rPr>
          <w:rFonts w:ascii="Times New Roman" w:hAnsi="Times New Roman" w:cs="Times New Roman"/>
          <w:sz w:val="24"/>
          <w:szCs w:val="24"/>
        </w:rPr>
        <w:t>. 15/A. §</w:t>
      </w:r>
      <w:proofErr w:type="spellStart"/>
      <w:r w:rsidRPr="003F0925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3F0925">
        <w:rPr>
          <w:rFonts w:ascii="Times New Roman" w:hAnsi="Times New Roman" w:cs="Times New Roman"/>
          <w:sz w:val="24"/>
          <w:szCs w:val="24"/>
        </w:rPr>
        <w:t xml:space="preserve"> meghatározott követelményekkel, valamint nem korlátozzák az intézményt abban, hogy képes legyen a megbízható tőkehelyzet fenntartására vagy helyreállítására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DC3DF7" w14:textId="77777777" w:rsidR="00F51683" w:rsidRPr="00F61A47" w:rsidRDefault="00F51683" w:rsidP="00F51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Bank a</w:t>
      </w:r>
      <w:r w:rsidRPr="00F61A47">
        <w:rPr>
          <w:rFonts w:ascii="Times New Roman" w:hAnsi="Times New Roman" w:cs="Times New Roman"/>
          <w:sz w:val="24"/>
          <w:szCs w:val="24"/>
        </w:rPr>
        <w:t xml:space="preserve">mennyiben a felülvizsgálat során megállapításra kerül, hogy a javadalmazási politika nem a célkitűzéseknek megfelelően, vagy nem az előírások szerint működik, </w:t>
      </w:r>
      <w:r w:rsidRPr="00317D30">
        <w:rPr>
          <w:rFonts w:ascii="Times New Roman" w:hAnsi="Times New Roman" w:cs="Times New Roman"/>
          <w:sz w:val="24"/>
          <w:szCs w:val="24"/>
        </w:rPr>
        <w:t>a F</w:t>
      </w:r>
      <w:r w:rsidRPr="00F61A47">
        <w:rPr>
          <w:rFonts w:ascii="Times New Roman" w:hAnsi="Times New Roman" w:cs="Times New Roman"/>
          <w:sz w:val="24"/>
          <w:szCs w:val="24"/>
        </w:rPr>
        <w:t>elügyel</w:t>
      </w:r>
      <w:r>
        <w:rPr>
          <w:rFonts w:ascii="Times New Roman" w:hAnsi="Times New Roman" w:cs="Times New Roman"/>
          <w:sz w:val="24"/>
          <w:szCs w:val="24"/>
        </w:rPr>
        <w:t xml:space="preserve">ő Bizottság </w:t>
      </w:r>
      <w:r w:rsidRPr="00F61A47">
        <w:rPr>
          <w:rFonts w:ascii="Times New Roman" w:hAnsi="Times New Roman" w:cs="Times New Roman"/>
          <w:sz w:val="24"/>
          <w:szCs w:val="24"/>
        </w:rPr>
        <w:t>intézkedési tervet dolgozz ki a megfelelő működés helyreállítására, biztosítsa a terv jóváhagyását és a megfelelő ütemezés szerinti végrehajtását.</w:t>
      </w:r>
    </w:p>
    <w:p w14:paraId="5F41E53A" w14:textId="77777777" w:rsidR="00F51683" w:rsidRPr="00F61A47" w:rsidRDefault="00F51683" w:rsidP="00F51683">
      <w:pPr>
        <w:jc w:val="both"/>
        <w:rPr>
          <w:rFonts w:ascii="Times New Roman" w:hAnsi="Times New Roman" w:cs="Times New Roman"/>
          <w:sz w:val="24"/>
          <w:szCs w:val="24"/>
        </w:rPr>
      </w:pPr>
      <w:r w:rsidRPr="00F61A47">
        <w:rPr>
          <w:rFonts w:ascii="Times New Roman" w:hAnsi="Times New Roman" w:cs="Times New Roman"/>
          <w:sz w:val="24"/>
          <w:szCs w:val="24"/>
        </w:rPr>
        <w:t>Az elvégzett felülvizsgálat</w:t>
      </w:r>
      <w:r>
        <w:rPr>
          <w:rFonts w:ascii="Times New Roman" w:hAnsi="Times New Roman" w:cs="Times New Roman"/>
          <w:sz w:val="24"/>
          <w:szCs w:val="24"/>
        </w:rPr>
        <w:t>ot</w:t>
      </w:r>
      <w:r w:rsidRPr="00F61A47">
        <w:rPr>
          <w:rFonts w:ascii="Times New Roman" w:hAnsi="Times New Roman" w:cs="Times New Roman"/>
          <w:sz w:val="24"/>
          <w:szCs w:val="24"/>
        </w:rPr>
        <w:t>, valamint a megállapított esetleges hiányosságok helyreállítására szolgáló intézkedések eredményeit vagy írásbeli jelentések</w:t>
      </w:r>
      <w:r>
        <w:rPr>
          <w:rFonts w:ascii="Times New Roman" w:hAnsi="Times New Roman" w:cs="Times New Roman"/>
          <w:sz w:val="24"/>
          <w:szCs w:val="24"/>
        </w:rPr>
        <w:t>et a Felügyelő Bizottság</w:t>
      </w:r>
      <w:r w:rsidRPr="00F61A47">
        <w:rPr>
          <w:rFonts w:ascii="Times New Roman" w:hAnsi="Times New Roman" w:cs="Times New Roman"/>
          <w:sz w:val="24"/>
          <w:szCs w:val="24"/>
        </w:rPr>
        <w:t xml:space="preserve"> ülésein készült jegyzőkönyvek formájában dokumentál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F61A47">
        <w:rPr>
          <w:rFonts w:ascii="Times New Roman" w:hAnsi="Times New Roman" w:cs="Times New Roman"/>
          <w:sz w:val="24"/>
          <w:szCs w:val="24"/>
        </w:rPr>
        <w:t>, és azokat a</w:t>
      </w:r>
      <w:r>
        <w:rPr>
          <w:rFonts w:ascii="Times New Roman" w:hAnsi="Times New Roman" w:cs="Times New Roman"/>
          <w:sz w:val="24"/>
          <w:szCs w:val="24"/>
        </w:rPr>
        <w:t>z Igazgatóság, valamint az érintett szakterületek részére bocsátja</w:t>
      </w:r>
      <w:r w:rsidRPr="00F61A47">
        <w:rPr>
          <w:rFonts w:ascii="Times New Roman" w:hAnsi="Times New Roman" w:cs="Times New Roman"/>
          <w:sz w:val="24"/>
          <w:szCs w:val="24"/>
        </w:rPr>
        <w:t>.</w:t>
      </w:r>
    </w:p>
    <w:p w14:paraId="3EA9CEB8" w14:textId="77777777" w:rsidR="00E60255" w:rsidRPr="0028364C" w:rsidRDefault="00E60255" w:rsidP="009019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FA9C96" w14:textId="384DC3E0" w:rsidR="00582330" w:rsidRPr="0040168E" w:rsidRDefault="00E60255" w:rsidP="0040168E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lastRenderedPageBreak/>
        <w:t xml:space="preserve">A Bank a Javadalmazási Politikát alátámasztó előterjesztéseket és háttéranyagokat 8 évig megőrzi. </w:t>
      </w:r>
    </w:p>
    <w:p w14:paraId="085607AE" w14:textId="77777777" w:rsidR="00582330" w:rsidRPr="0028364C" w:rsidRDefault="00582330" w:rsidP="00B77F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6A77FC8" w14:textId="77777777" w:rsidR="00424D1A" w:rsidRPr="0028364C" w:rsidRDefault="001519C5" w:rsidP="009019E6">
      <w:pPr>
        <w:pStyle w:val="Listaszerbekezds"/>
        <w:numPr>
          <w:ilvl w:val="0"/>
          <w:numId w:val="1"/>
        </w:numPr>
        <w:ind w:left="284" w:hanging="28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364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6" w:name="_Toc109047105"/>
      <w:r w:rsidR="009019E6" w:rsidRPr="0028364C">
        <w:rPr>
          <w:rFonts w:ascii="Times New Roman" w:hAnsi="Times New Roman" w:cs="Times New Roman"/>
          <w:b/>
          <w:sz w:val="28"/>
          <w:szCs w:val="28"/>
        </w:rPr>
        <w:t>Záró rendelkezés</w:t>
      </w:r>
      <w:bookmarkEnd w:id="36"/>
    </w:p>
    <w:p w14:paraId="62DDD832" w14:textId="77777777" w:rsidR="00F223C6" w:rsidRPr="0028364C" w:rsidRDefault="00F223C6" w:rsidP="00F223C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BED5F" w14:textId="4C95844E" w:rsidR="00F223C6" w:rsidRPr="0028364C" w:rsidRDefault="00F223C6" w:rsidP="009019E6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64C">
        <w:rPr>
          <w:rFonts w:ascii="Times New Roman" w:hAnsi="Times New Roman" w:cs="Times New Roman"/>
          <w:sz w:val="24"/>
          <w:szCs w:val="24"/>
        </w:rPr>
        <w:t xml:space="preserve">A Javadalmazási Politika </w:t>
      </w:r>
      <w:r w:rsidR="00F14662">
        <w:rPr>
          <w:rFonts w:ascii="Times New Roman" w:hAnsi="Times New Roman" w:cs="Times New Roman"/>
          <w:sz w:val="24"/>
          <w:szCs w:val="24"/>
        </w:rPr>
        <w:t>202</w:t>
      </w:r>
      <w:r w:rsidR="00F50DFC">
        <w:rPr>
          <w:rFonts w:ascii="Times New Roman" w:hAnsi="Times New Roman" w:cs="Times New Roman"/>
          <w:sz w:val="24"/>
          <w:szCs w:val="24"/>
        </w:rPr>
        <w:t>2</w:t>
      </w:r>
      <w:r w:rsidR="00CF0CCA">
        <w:rPr>
          <w:rFonts w:ascii="Times New Roman" w:hAnsi="Times New Roman" w:cs="Times New Roman"/>
          <w:sz w:val="24"/>
          <w:szCs w:val="24"/>
        </w:rPr>
        <w:t>.</w:t>
      </w:r>
      <w:r w:rsidR="0040168E">
        <w:rPr>
          <w:rFonts w:ascii="Times New Roman" w:hAnsi="Times New Roman" w:cs="Times New Roman"/>
          <w:sz w:val="24"/>
          <w:szCs w:val="24"/>
        </w:rPr>
        <w:t xml:space="preserve"> augusztus</w:t>
      </w:r>
      <w:r w:rsidR="00C2566C">
        <w:rPr>
          <w:rFonts w:ascii="Times New Roman" w:hAnsi="Times New Roman" w:cs="Times New Roman"/>
          <w:sz w:val="24"/>
          <w:szCs w:val="24"/>
        </w:rPr>
        <w:t xml:space="preserve"> </w:t>
      </w:r>
      <w:r w:rsidR="0040168E">
        <w:rPr>
          <w:rFonts w:ascii="Times New Roman" w:hAnsi="Times New Roman" w:cs="Times New Roman"/>
          <w:sz w:val="24"/>
          <w:szCs w:val="24"/>
        </w:rPr>
        <w:t>10</w:t>
      </w:r>
      <w:r w:rsidR="0028364C">
        <w:rPr>
          <w:rFonts w:ascii="Times New Roman" w:hAnsi="Times New Roman" w:cs="Times New Roman"/>
          <w:sz w:val="24"/>
          <w:szCs w:val="24"/>
        </w:rPr>
        <w:t>-</w:t>
      </w:r>
      <w:r w:rsidR="00DE606F">
        <w:rPr>
          <w:rFonts w:ascii="Times New Roman" w:hAnsi="Times New Roman" w:cs="Times New Roman"/>
          <w:sz w:val="24"/>
          <w:szCs w:val="24"/>
        </w:rPr>
        <w:t>tő</w:t>
      </w:r>
      <w:r w:rsidR="009019E6" w:rsidRPr="0028364C">
        <w:rPr>
          <w:rFonts w:ascii="Times New Roman" w:hAnsi="Times New Roman" w:cs="Times New Roman"/>
          <w:sz w:val="24"/>
          <w:szCs w:val="24"/>
        </w:rPr>
        <w:t xml:space="preserve">l hatályos, ezzel egyidejűleg hatályát veszti a korábbi </w:t>
      </w:r>
      <w:r w:rsidR="00F50DFC">
        <w:rPr>
          <w:rFonts w:ascii="Times New Roman" w:hAnsi="Times New Roman" w:cs="Times New Roman"/>
          <w:sz w:val="24"/>
          <w:szCs w:val="24"/>
        </w:rPr>
        <w:t>85</w:t>
      </w:r>
      <w:r w:rsidR="00F14662">
        <w:rPr>
          <w:rFonts w:ascii="Times New Roman" w:hAnsi="Times New Roman" w:cs="Times New Roman"/>
          <w:sz w:val="24"/>
          <w:szCs w:val="24"/>
        </w:rPr>
        <w:t>/202</w:t>
      </w:r>
      <w:r w:rsidR="00F50DFC">
        <w:rPr>
          <w:rFonts w:ascii="Times New Roman" w:hAnsi="Times New Roman" w:cs="Times New Roman"/>
          <w:sz w:val="24"/>
          <w:szCs w:val="24"/>
        </w:rPr>
        <w:t>1</w:t>
      </w:r>
      <w:r w:rsidR="00CF0CCA">
        <w:rPr>
          <w:rFonts w:ascii="Times New Roman" w:hAnsi="Times New Roman" w:cs="Times New Roman"/>
          <w:sz w:val="24"/>
          <w:szCs w:val="24"/>
        </w:rPr>
        <w:t>/FB</w:t>
      </w:r>
      <w:r w:rsidR="00D34405" w:rsidRPr="0028364C">
        <w:rPr>
          <w:rFonts w:ascii="Times New Roman" w:hAnsi="Times New Roman" w:cs="Times New Roman"/>
          <w:sz w:val="24"/>
          <w:szCs w:val="24"/>
        </w:rPr>
        <w:t xml:space="preserve"> számú szabályzat.</w:t>
      </w:r>
    </w:p>
    <w:p w14:paraId="0B8E5558" w14:textId="0466001A" w:rsidR="00F223C6" w:rsidRDefault="00F223C6" w:rsidP="009019E6">
      <w:pPr>
        <w:pStyle w:val="BodyText21"/>
        <w:tabs>
          <w:tab w:val="left" w:pos="709"/>
        </w:tabs>
        <w:spacing w:before="12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28364C">
        <w:rPr>
          <w:rFonts w:ascii="Times New Roman" w:eastAsiaTheme="minorEastAsia" w:hAnsi="Times New Roman"/>
          <w:sz w:val="24"/>
          <w:szCs w:val="24"/>
          <w:lang w:eastAsia="en-US"/>
        </w:rPr>
        <w:t xml:space="preserve">Jelen szabályzat felülvizsgálatának </w:t>
      </w:r>
      <w:r w:rsidR="00713A24" w:rsidRPr="0028364C">
        <w:rPr>
          <w:rFonts w:ascii="Times New Roman" w:eastAsiaTheme="minorEastAsia" w:hAnsi="Times New Roman"/>
          <w:sz w:val="24"/>
          <w:szCs w:val="24"/>
          <w:lang w:eastAsia="en-US"/>
        </w:rPr>
        <w:t>legké</w:t>
      </w:r>
      <w:bookmarkStart w:id="37" w:name="_GoBack"/>
      <w:bookmarkEnd w:id="37"/>
      <w:r w:rsidR="00713A24" w:rsidRPr="0028364C">
        <w:rPr>
          <w:rFonts w:ascii="Times New Roman" w:eastAsiaTheme="minorEastAsia" w:hAnsi="Times New Roman"/>
          <w:sz w:val="24"/>
          <w:szCs w:val="24"/>
          <w:lang w:eastAsia="en-US"/>
        </w:rPr>
        <w:t xml:space="preserve">sőbbi </w:t>
      </w:r>
      <w:r w:rsidR="00D34405" w:rsidRPr="0028364C">
        <w:rPr>
          <w:rFonts w:ascii="Times New Roman" w:eastAsiaTheme="minorEastAsia" w:hAnsi="Times New Roman"/>
          <w:sz w:val="24"/>
          <w:szCs w:val="24"/>
          <w:lang w:eastAsia="en-US"/>
        </w:rPr>
        <w:t xml:space="preserve">határideje </w:t>
      </w:r>
      <w:r w:rsidRPr="0028364C">
        <w:rPr>
          <w:rFonts w:ascii="Times New Roman" w:eastAsiaTheme="minorEastAsia" w:hAnsi="Times New Roman"/>
          <w:sz w:val="24"/>
          <w:szCs w:val="24"/>
          <w:lang w:eastAsia="en-US"/>
        </w:rPr>
        <w:t>20</w:t>
      </w:r>
      <w:r w:rsidR="0034341A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F50DFC">
        <w:rPr>
          <w:rFonts w:ascii="Times New Roman" w:eastAsiaTheme="minorEastAsia" w:hAnsi="Times New Roman"/>
          <w:sz w:val="24"/>
          <w:szCs w:val="24"/>
          <w:lang w:eastAsia="en-US"/>
        </w:rPr>
        <w:t>3</w:t>
      </w:r>
      <w:r w:rsidR="00C73AAE" w:rsidRPr="0028364C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r w:rsidR="00A86A9D">
        <w:rPr>
          <w:rFonts w:ascii="Times New Roman" w:eastAsiaTheme="minorEastAsia" w:hAnsi="Times New Roman"/>
          <w:sz w:val="24"/>
          <w:szCs w:val="24"/>
          <w:lang w:eastAsia="en-US"/>
        </w:rPr>
        <w:t>június 30</w:t>
      </w:r>
      <w:r w:rsidR="00E60255" w:rsidRPr="0028364C">
        <w:rPr>
          <w:rFonts w:ascii="Times New Roman" w:eastAsiaTheme="minorEastAsia" w:hAnsi="Times New Roman"/>
          <w:sz w:val="24"/>
          <w:szCs w:val="24"/>
          <w:lang w:eastAsia="en-US"/>
        </w:rPr>
        <w:t>.</w:t>
      </w:r>
      <w:r w:rsidR="00D34405" w:rsidRPr="0028364C">
        <w:rPr>
          <w:rFonts w:ascii="Times New Roman" w:eastAsiaTheme="minorEastAsia" w:hAnsi="Times New Roman"/>
          <w:sz w:val="24"/>
          <w:szCs w:val="24"/>
          <w:lang w:eastAsia="en-US"/>
        </w:rPr>
        <w:t xml:space="preserve"> melynek elvégzéséért a HR </w:t>
      </w:r>
      <w:r w:rsidR="00E02678" w:rsidRPr="0028364C">
        <w:rPr>
          <w:rFonts w:ascii="Times New Roman" w:eastAsiaTheme="minorEastAsia" w:hAnsi="Times New Roman"/>
          <w:sz w:val="24"/>
          <w:szCs w:val="24"/>
          <w:lang w:eastAsia="en-US"/>
        </w:rPr>
        <w:t>Osztály</w:t>
      </w:r>
      <w:r w:rsidR="00D34405" w:rsidRPr="0028364C">
        <w:rPr>
          <w:rFonts w:ascii="Times New Roman" w:eastAsiaTheme="minorEastAsia" w:hAnsi="Times New Roman"/>
          <w:sz w:val="24"/>
          <w:szCs w:val="24"/>
          <w:lang w:eastAsia="en-US"/>
        </w:rPr>
        <w:t xml:space="preserve"> a felelős.</w:t>
      </w:r>
    </w:p>
    <w:p w14:paraId="3DEAF0B4" w14:textId="77777777" w:rsidR="00DE606F" w:rsidRDefault="00DE606F" w:rsidP="009019E6">
      <w:pPr>
        <w:pStyle w:val="BodyText21"/>
        <w:tabs>
          <w:tab w:val="left" w:pos="709"/>
        </w:tabs>
        <w:spacing w:before="12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1EFBD43B" w14:textId="77777777" w:rsidR="00582330" w:rsidRDefault="00582330" w:rsidP="00582330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3E09A4CA" w14:textId="285C0D3A" w:rsidR="00582330" w:rsidRDefault="00582330" w:rsidP="00582330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Győr, </w:t>
      </w:r>
      <w:r w:rsidR="00F14662">
        <w:rPr>
          <w:rFonts w:ascii="Times New Roman" w:hAnsi="Times New Roman" w:cs="Times New Roman"/>
          <w:sz w:val="24"/>
          <w:szCs w:val="24"/>
        </w:rPr>
        <w:t>202</w:t>
      </w:r>
      <w:r w:rsidR="00F50DFC">
        <w:rPr>
          <w:rFonts w:ascii="Times New Roman" w:hAnsi="Times New Roman" w:cs="Times New Roman"/>
          <w:sz w:val="24"/>
          <w:szCs w:val="24"/>
        </w:rPr>
        <w:t>2</w:t>
      </w:r>
      <w:r w:rsidR="00F14662">
        <w:rPr>
          <w:rFonts w:ascii="Times New Roman" w:hAnsi="Times New Roman" w:cs="Times New Roman"/>
          <w:sz w:val="24"/>
          <w:szCs w:val="24"/>
        </w:rPr>
        <w:t xml:space="preserve">. </w:t>
      </w:r>
      <w:r w:rsidR="0059797D">
        <w:rPr>
          <w:rFonts w:ascii="Times New Roman" w:hAnsi="Times New Roman" w:cs="Times New Roman"/>
          <w:sz w:val="24"/>
          <w:szCs w:val="24"/>
        </w:rPr>
        <w:t>jú</w:t>
      </w:r>
      <w:r w:rsidR="00F50DFC">
        <w:rPr>
          <w:rFonts w:ascii="Times New Roman" w:hAnsi="Times New Roman" w:cs="Times New Roman"/>
          <w:sz w:val="24"/>
          <w:szCs w:val="24"/>
        </w:rPr>
        <w:t>lius 01.</w:t>
      </w:r>
    </w:p>
    <w:p w14:paraId="1303AC8E" w14:textId="77777777" w:rsidR="00582330" w:rsidRDefault="00582330" w:rsidP="00582330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EFF8EE4" w14:textId="77777777" w:rsidR="00582330" w:rsidRDefault="00582330" w:rsidP="005823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Készítette:  Dr. Dégay Anett</w:t>
      </w:r>
    </w:p>
    <w:p w14:paraId="7D19895B" w14:textId="4BB1AEB3" w:rsidR="00582330" w:rsidRPr="008C62D8" w:rsidRDefault="00BC7876" w:rsidP="005823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9797D">
        <w:rPr>
          <w:rFonts w:ascii="Times New Roman" w:hAnsi="Times New Roman" w:cs="Times New Roman"/>
          <w:sz w:val="24"/>
          <w:szCs w:val="24"/>
        </w:rPr>
        <w:t>HR osztály vezető</w:t>
      </w:r>
    </w:p>
    <w:p w14:paraId="4C48F0E3" w14:textId="77777777" w:rsidR="00DE606F" w:rsidRDefault="00DE606F" w:rsidP="009019E6">
      <w:pPr>
        <w:pStyle w:val="BodyText21"/>
        <w:tabs>
          <w:tab w:val="left" w:pos="709"/>
        </w:tabs>
        <w:spacing w:before="12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57B761AB" w14:textId="77777777" w:rsidR="00582330" w:rsidRDefault="00582330" w:rsidP="009019E6">
      <w:pPr>
        <w:pStyle w:val="BodyText21"/>
        <w:tabs>
          <w:tab w:val="left" w:pos="709"/>
        </w:tabs>
        <w:spacing w:before="12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12AAF78" w14:textId="77777777" w:rsidR="00582330" w:rsidRDefault="00582330" w:rsidP="009019E6">
      <w:pPr>
        <w:pStyle w:val="BodyText21"/>
        <w:tabs>
          <w:tab w:val="left" w:pos="709"/>
        </w:tabs>
        <w:spacing w:before="12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CCB2949" w14:textId="77777777" w:rsidR="0059797D" w:rsidRDefault="0059797D" w:rsidP="009019E6">
      <w:pPr>
        <w:pStyle w:val="BodyText21"/>
        <w:tabs>
          <w:tab w:val="left" w:pos="709"/>
        </w:tabs>
        <w:spacing w:before="12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48FBBA26" w14:textId="77777777" w:rsidR="0059797D" w:rsidRDefault="0059797D" w:rsidP="009019E6">
      <w:pPr>
        <w:pStyle w:val="BodyText21"/>
        <w:tabs>
          <w:tab w:val="left" w:pos="709"/>
        </w:tabs>
        <w:spacing w:before="12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C211B8B" w14:textId="77777777" w:rsidR="0059797D" w:rsidRPr="0028364C" w:rsidRDefault="0059797D" w:rsidP="009019E6">
      <w:pPr>
        <w:pStyle w:val="BodyText21"/>
        <w:tabs>
          <w:tab w:val="left" w:pos="709"/>
        </w:tabs>
        <w:spacing w:before="12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2E00E392" w14:textId="70543832" w:rsidR="005C3624" w:rsidRPr="0028364C" w:rsidRDefault="004441FC" w:rsidP="009019E6">
      <w:pPr>
        <w:pStyle w:val="BodyText21"/>
        <w:tabs>
          <w:tab w:val="left" w:pos="709"/>
        </w:tabs>
        <w:spacing w:before="12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28364C">
        <w:rPr>
          <w:rFonts w:ascii="Times New Roman" w:eastAsiaTheme="minorEastAsia" w:hAnsi="Times New Roman"/>
          <w:sz w:val="24"/>
          <w:szCs w:val="24"/>
          <w:lang w:eastAsia="en-US"/>
        </w:rPr>
        <w:t>Szabályzat mellékletei</w:t>
      </w:r>
      <w:r w:rsidR="005C3624" w:rsidRPr="0028364C">
        <w:rPr>
          <w:rFonts w:ascii="Times New Roman" w:eastAsiaTheme="minorEastAsia" w:hAnsi="Times New Roman"/>
          <w:sz w:val="24"/>
          <w:szCs w:val="24"/>
          <w:lang w:eastAsia="en-US"/>
        </w:rPr>
        <w:t>:</w:t>
      </w:r>
    </w:p>
    <w:p w14:paraId="6E6CBFF2" w14:textId="77777777" w:rsidR="00F223C6" w:rsidRPr="0028364C" w:rsidRDefault="00F223C6" w:rsidP="00F223C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E7CB1" w14:textId="714F3A1A" w:rsidR="005C3624" w:rsidRPr="0028364C" w:rsidRDefault="005C3624" w:rsidP="008C62D8">
      <w:pPr>
        <w:pStyle w:val="Listaszerbekezds"/>
        <w:numPr>
          <w:ilvl w:val="0"/>
          <w:numId w:val="29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15922A7E" w14:textId="306628AA" w:rsidR="00A35659" w:rsidRPr="0028364C" w:rsidRDefault="00764575" w:rsidP="008C62D8">
      <w:pPr>
        <w:pStyle w:val="Listaszerbekezds"/>
        <w:numPr>
          <w:ilvl w:val="0"/>
          <w:numId w:val="29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3624" w:rsidRPr="0028364C">
        <w:rPr>
          <w:rFonts w:ascii="Times New Roman" w:hAnsi="Times New Roman" w:cs="Times New Roman"/>
          <w:sz w:val="24"/>
          <w:szCs w:val="24"/>
        </w:rPr>
        <w:t xml:space="preserve">.sz. </w:t>
      </w:r>
      <w:r w:rsidR="008C62D8">
        <w:rPr>
          <w:rFonts w:ascii="Times New Roman" w:hAnsi="Times New Roman" w:cs="Times New Roman"/>
          <w:sz w:val="24"/>
          <w:szCs w:val="24"/>
        </w:rPr>
        <w:tab/>
      </w:r>
      <w:r w:rsidR="00A35659" w:rsidRPr="0028364C">
        <w:rPr>
          <w:rFonts w:ascii="Times New Roman" w:hAnsi="Times New Roman" w:cs="Times New Roman"/>
          <w:sz w:val="24"/>
          <w:szCs w:val="24"/>
        </w:rPr>
        <w:t xml:space="preserve">A Duna Takarék Bank </w:t>
      </w:r>
      <w:proofErr w:type="spellStart"/>
      <w:r w:rsidR="00A35659" w:rsidRPr="0028364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A35659" w:rsidRPr="0028364C">
        <w:rPr>
          <w:rFonts w:ascii="Times New Roman" w:hAnsi="Times New Roman" w:cs="Times New Roman"/>
          <w:sz w:val="24"/>
          <w:szCs w:val="24"/>
        </w:rPr>
        <w:t>.</w:t>
      </w:r>
      <w:r w:rsidR="006F6E79">
        <w:rPr>
          <w:rFonts w:ascii="Times New Roman" w:hAnsi="Times New Roman" w:cs="Times New Roman"/>
          <w:sz w:val="24"/>
          <w:szCs w:val="24"/>
        </w:rPr>
        <w:t xml:space="preserve"> esetén</w:t>
      </w:r>
      <w:r w:rsidR="00A35659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0E5A62" w:rsidRPr="0028364C">
        <w:rPr>
          <w:rFonts w:ascii="Times New Roman" w:hAnsi="Times New Roman" w:cs="Times New Roman"/>
          <w:sz w:val="24"/>
          <w:szCs w:val="24"/>
        </w:rPr>
        <w:t>azonosított munkavállaló</w:t>
      </w:r>
      <w:r w:rsidR="006F6E79">
        <w:rPr>
          <w:rFonts w:ascii="Times New Roman" w:hAnsi="Times New Roman" w:cs="Times New Roman"/>
          <w:sz w:val="24"/>
          <w:szCs w:val="24"/>
        </w:rPr>
        <w:t>k</w:t>
      </w:r>
      <w:r w:rsidR="00480929" w:rsidRPr="00283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3B9F9" w14:textId="5A32CF4F" w:rsidR="005C3624" w:rsidRPr="0028364C" w:rsidRDefault="00764575" w:rsidP="008C62D8">
      <w:pPr>
        <w:pStyle w:val="Listaszerbekezds"/>
        <w:numPr>
          <w:ilvl w:val="0"/>
          <w:numId w:val="29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3624" w:rsidRPr="0028364C">
        <w:rPr>
          <w:rFonts w:ascii="Times New Roman" w:hAnsi="Times New Roman" w:cs="Times New Roman"/>
          <w:sz w:val="24"/>
          <w:szCs w:val="24"/>
        </w:rPr>
        <w:t xml:space="preserve">.sz.: </w:t>
      </w:r>
      <w:r w:rsidR="008C62D8">
        <w:rPr>
          <w:rFonts w:ascii="Times New Roman" w:hAnsi="Times New Roman" w:cs="Times New Roman"/>
          <w:sz w:val="24"/>
          <w:szCs w:val="24"/>
        </w:rPr>
        <w:tab/>
      </w:r>
      <w:r w:rsidR="00A35659" w:rsidRPr="0028364C">
        <w:rPr>
          <w:rFonts w:ascii="Times New Roman" w:hAnsi="Times New Roman" w:cs="Times New Roman"/>
          <w:sz w:val="24"/>
          <w:szCs w:val="24"/>
        </w:rPr>
        <w:t xml:space="preserve">Duna Takarék Bank </w:t>
      </w:r>
      <w:proofErr w:type="spellStart"/>
      <w:r w:rsidR="00A35659" w:rsidRPr="0028364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A35659" w:rsidRPr="0028364C">
        <w:rPr>
          <w:rFonts w:ascii="Times New Roman" w:hAnsi="Times New Roman" w:cs="Times New Roman"/>
          <w:sz w:val="24"/>
          <w:szCs w:val="24"/>
        </w:rPr>
        <w:t xml:space="preserve">. (DTB) központi teljesítményértékelési és </w:t>
      </w:r>
      <w:proofErr w:type="spellStart"/>
      <w:r w:rsidR="00A35659" w:rsidRPr="0028364C">
        <w:rPr>
          <w:rFonts w:ascii="Times New Roman" w:hAnsi="Times New Roman" w:cs="Times New Roman"/>
          <w:sz w:val="24"/>
          <w:szCs w:val="24"/>
        </w:rPr>
        <w:t>mozgóbére</w:t>
      </w:r>
      <w:r w:rsidR="008C62D8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="008C62D8">
        <w:rPr>
          <w:rFonts w:ascii="Times New Roman" w:hAnsi="Times New Roman" w:cs="Times New Roman"/>
          <w:sz w:val="24"/>
          <w:szCs w:val="24"/>
        </w:rPr>
        <w:tab/>
      </w:r>
      <w:r w:rsidR="008C62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35659" w:rsidRPr="0028364C">
        <w:rPr>
          <w:rFonts w:ascii="Times New Roman" w:hAnsi="Times New Roman" w:cs="Times New Roman"/>
          <w:sz w:val="24"/>
          <w:szCs w:val="24"/>
        </w:rPr>
        <w:t>zési</w:t>
      </w:r>
      <w:proofErr w:type="spellEnd"/>
      <w:r w:rsidR="00A35659" w:rsidRPr="0028364C">
        <w:rPr>
          <w:rFonts w:ascii="Times New Roman" w:hAnsi="Times New Roman" w:cs="Times New Roman"/>
          <w:sz w:val="24"/>
          <w:szCs w:val="24"/>
        </w:rPr>
        <w:t xml:space="preserve">  rendszerének alapelvei</w:t>
      </w:r>
    </w:p>
    <w:p w14:paraId="5DF03DF8" w14:textId="6A47E376" w:rsidR="005C3624" w:rsidRPr="0028364C" w:rsidRDefault="00764575" w:rsidP="008C62D8">
      <w:pPr>
        <w:pStyle w:val="Listaszerbekezds"/>
        <w:numPr>
          <w:ilvl w:val="0"/>
          <w:numId w:val="29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3624" w:rsidRPr="0028364C">
        <w:rPr>
          <w:rFonts w:ascii="Times New Roman" w:hAnsi="Times New Roman" w:cs="Times New Roman"/>
          <w:sz w:val="24"/>
          <w:szCs w:val="24"/>
        </w:rPr>
        <w:t>.sz.:</w:t>
      </w:r>
      <w:r w:rsidR="008C62D8">
        <w:rPr>
          <w:rFonts w:ascii="Times New Roman" w:hAnsi="Times New Roman" w:cs="Times New Roman"/>
          <w:sz w:val="24"/>
          <w:szCs w:val="24"/>
        </w:rPr>
        <w:tab/>
      </w:r>
      <w:r w:rsidR="005C3624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A35659" w:rsidRPr="0028364C">
        <w:rPr>
          <w:rFonts w:ascii="Times New Roman" w:hAnsi="Times New Roman" w:cs="Times New Roman"/>
          <w:sz w:val="24"/>
          <w:szCs w:val="24"/>
        </w:rPr>
        <w:t>Egyéni ösztönzési lapok</w:t>
      </w:r>
    </w:p>
    <w:p w14:paraId="06998216" w14:textId="7130C0FD" w:rsidR="005C3624" w:rsidRPr="0028364C" w:rsidRDefault="00764575" w:rsidP="008C62D8">
      <w:pPr>
        <w:pStyle w:val="Listaszerbekezds"/>
        <w:numPr>
          <w:ilvl w:val="0"/>
          <w:numId w:val="29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41FC" w:rsidRPr="0028364C">
        <w:rPr>
          <w:rFonts w:ascii="Times New Roman" w:hAnsi="Times New Roman" w:cs="Times New Roman"/>
          <w:sz w:val="24"/>
          <w:szCs w:val="24"/>
        </w:rPr>
        <w:t>.sz.:</w:t>
      </w:r>
      <w:r w:rsidR="00A35659" w:rsidRPr="0028364C">
        <w:rPr>
          <w:rFonts w:ascii="Times New Roman" w:hAnsi="Times New Roman" w:cs="Times New Roman"/>
          <w:sz w:val="24"/>
          <w:szCs w:val="24"/>
        </w:rPr>
        <w:t xml:space="preserve"> </w:t>
      </w:r>
      <w:r w:rsidR="008C62D8">
        <w:rPr>
          <w:rFonts w:ascii="Times New Roman" w:hAnsi="Times New Roman" w:cs="Times New Roman"/>
          <w:sz w:val="24"/>
          <w:szCs w:val="24"/>
        </w:rPr>
        <w:tab/>
      </w:r>
      <w:r w:rsidR="00A35659" w:rsidRPr="0028364C">
        <w:rPr>
          <w:rFonts w:ascii="Times New Roman" w:hAnsi="Times New Roman" w:cs="Times New Roman"/>
          <w:sz w:val="24"/>
          <w:szCs w:val="24"/>
        </w:rPr>
        <w:t xml:space="preserve">Duna Kavics egyéni érdekeltségi ösztönző rendszer ügyvezetői utasítás </w:t>
      </w:r>
      <w:r w:rsidR="008C62D8">
        <w:rPr>
          <w:rFonts w:ascii="Times New Roman" w:hAnsi="Times New Roman" w:cs="Times New Roman"/>
          <w:sz w:val="24"/>
          <w:szCs w:val="24"/>
        </w:rPr>
        <w:tab/>
      </w:r>
      <w:r w:rsidR="008C62D8">
        <w:rPr>
          <w:rFonts w:ascii="Times New Roman" w:hAnsi="Times New Roman" w:cs="Times New Roman"/>
          <w:sz w:val="24"/>
          <w:szCs w:val="24"/>
        </w:rPr>
        <w:tab/>
      </w:r>
      <w:r w:rsidR="008C62D8">
        <w:rPr>
          <w:rFonts w:ascii="Times New Roman" w:hAnsi="Times New Roman" w:cs="Times New Roman"/>
          <w:sz w:val="24"/>
          <w:szCs w:val="24"/>
        </w:rPr>
        <w:tab/>
      </w:r>
    </w:p>
    <w:p w14:paraId="579FDBDA" w14:textId="7668B0DA" w:rsidR="00B7212F" w:rsidRPr="00CF0CCA" w:rsidRDefault="00764575" w:rsidP="008C62D8">
      <w:pPr>
        <w:pStyle w:val="Listaszerbekezds"/>
        <w:numPr>
          <w:ilvl w:val="0"/>
          <w:numId w:val="29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7212F" w:rsidRPr="0028364C">
        <w:rPr>
          <w:rFonts w:ascii="Times New Roman" w:hAnsi="Times New Roman" w:cs="Times New Roman"/>
          <w:bCs/>
          <w:sz w:val="24"/>
          <w:szCs w:val="24"/>
        </w:rPr>
        <w:t xml:space="preserve">.sz.: </w:t>
      </w:r>
      <w:r w:rsidR="008C62D8">
        <w:rPr>
          <w:rFonts w:ascii="Times New Roman" w:hAnsi="Times New Roman" w:cs="Times New Roman"/>
          <w:bCs/>
          <w:sz w:val="24"/>
          <w:szCs w:val="24"/>
        </w:rPr>
        <w:tab/>
      </w:r>
      <w:r w:rsidR="00B7212F" w:rsidRPr="0028364C">
        <w:rPr>
          <w:rFonts w:ascii="Times New Roman" w:hAnsi="Times New Roman" w:cs="Times New Roman"/>
          <w:bCs/>
          <w:sz w:val="24"/>
          <w:szCs w:val="24"/>
        </w:rPr>
        <w:t>A teljesítményértékelés folyamatának feladatai és annak menetrendje</w:t>
      </w:r>
    </w:p>
    <w:p w14:paraId="72DFB7CB" w14:textId="2955A0A5" w:rsidR="00CF0CCA" w:rsidRPr="008C62D8" w:rsidRDefault="00764575" w:rsidP="00F62262">
      <w:pPr>
        <w:pStyle w:val="Listaszerbekezds"/>
        <w:numPr>
          <w:ilvl w:val="0"/>
          <w:numId w:val="29"/>
        </w:numPr>
        <w:tabs>
          <w:tab w:val="left" w:pos="85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</w:t>
      </w:r>
      <w:r w:rsidR="00CF0CCA">
        <w:rPr>
          <w:rFonts w:ascii="Times New Roman" w:hAnsi="Times New Roman" w:cs="Times New Roman"/>
          <w:bCs/>
          <w:sz w:val="24"/>
          <w:szCs w:val="24"/>
        </w:rPr>
        <w:t>.sz.:</w:t>
      </w:r>
      <w:r w:rsidR="00CF0CCA">
        <w:rPr>
          <w:rFonts w:ascii="Times New Roman" w:hAnsi="Times New Roman" w:cs="Times New Roman"/>
          <w:bCs/>
          <w:sz w:val="24"/>
          <w:szCs w:val="24"/>
        </w:rPr>
        <w:tab/>
        <w:t>J</w:t>
      </w:r>
      <w:r w:rsidR="00CF0CCA" w:rsidRPr="00CF0CCA">
        <w:rPr>
          <w:rFonts w:ascii="Times New Roman" w:hAnsi="Times New Roman" w:cs="Times New Roman"/>
          <w:bCs/>
          <w:sz w:val="24"/>
          <w:szCs w:val="24"/>
        </w:rPr>
        <w:t xml:space="preserve">avadalmazási méréshez kötődő eredmény, értékesítési és kockázati mutatók </w:t>
      </w:r>
      <w:r w:rsidR="00F6226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F0CCA" w:rsidRPr="00CF0CCA">
        <w:rPr>
          <w:rFonts w:ascii="Times New Roman" w:hAnsi="Times New Roman" w:cs="Times New Roman"/>
          <w:bCs/>
          <w:sz w:val="24"/>
          <w:szCs w:val="24"/>
        </w:rPr>
        <w:t>tartalmának leírása, kiszámítása</w:t>
      </w:r>
    </w:p>
    <w:p w14:paraId="3F9B68A2" w14:textId="77777777" w:rsidR="008C62D8" w:rsidRDefault="008C62D8" w:rsidP="008C62D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sectPr w:rsidR="008C62D8" w:rsidSect="004916BF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31B2D" w14:textId="77777777" w:rsidR="00920C5D" w:rsidRDefault="00920C5D" w:rsidP="006A33D8">
      <w:pPr>
        <w:spacing w:after="0" w:line="240" w:lineRule="auto"/>
      </w:pPr>
      <w:r>
        <w:separator/>
      </w:r>
    </w:p>
  </w:endnote>
  <w:endnote w:type="continuationSeparator" w:id="0">
    <w:p w14:paraId="4B58A750" w14:textId="77777777" w:rsidR="00920C5D" w:rsidRDefault="00920C5D" w:rsidP="006A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YInterstate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857608"/>
      <w:docPartObj>
        <w:docPartGallery w:val="Page Numbers (Bottom of Page)"/>
        <w:docPartUnique/>
      </w:docPartObj>
    </w:sdtPr>
    <w:sdtEndPr/>
    <w:sdtContent>
      <w:p w14:paraId="65F7A6BA" w14:textId="4722ED5D" w:rsidR="00920C5D" w:rsidRDefault="00920C5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68E">
          <w:rPr>
            <w:noProof/>
          </w:rPr>
          <w:t>22</w:t>
        </w:r>
        <w:r>
          <w:fldChar w:fldCharType="end"/>
        </w:r>
      </w:p>
    </w:sdtContent>
  </w:sdt>
  <w:p w14:paraId="6636B0E2" w14:textId="3200DBA9" w:rsidR="00920C5D" w:rsidRPr="006A33D8" w:rsidRDefault="00920C5D" w:rsidP="006A33D8">
    <w:pPr>
      <w:pStyle w:val="llb"/>
      <w:pBdr>
        <w:top w:val="single" w:sz="4" w:space="1" w:color="auto"/>
      </w:pBdr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860885"/>
      <w:docPartObj>
        <w:docPartGallery w:val="Page Numbers (Bottom of Page)"/>
        <w:docPartUnique/>
      </w:docPartObj>
    </w:sdtPr>
    <w:sdtEndPr/>
    <w:sdtContent>
      <w:p w14:paraId="5B5EB848" w14:textId="77777777" w:rsidR="00920C5D" w:rsidRDefault="00920C5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68E">
          <w:rPr>
            <w:noProof/>
          </w:rPr>
          <w:t>1</w:t>
        </w:r>
        <w:r>
          <w:fldChar w:fldCharType="end"/>
        </w:r>
      </w:p>
    </w:sdtContent>
  </w:sdt>
  <w:p w14:paraId="5BD08A74" w14:textId="77777777" w:rsidR="00920C5D" w:rsidRDefault="00920C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8FD16" w14:textId="77777777" w:rsidR="00920C5D" w:rsidRDefault="00920C5D" w:rsidP="006A33D8">
      <w:pPr>
        <w:spacing w:after="0" w:line="240" w:lineRule="auto"/>
      </w:pPr>
      <w:r>
        <w:separator/>
      </w:r>
    </w:p>
  </w:footnote>
  <w:footnote w:type="continuationSeparator" w:id="0">
    <w:p w14:paraId="5F73B615" w14:textId="77777777" w:rsidR="00920C5D" w:rsidRDefault="00920C5D" w:rsidP="006A33D8">
      <w:pPr>
        <w:spacing w:after="0" w:line="240" w:lineRule="auto"/>
      </w:pPr>
      <w:r>
        <w:continuationSeparator/>
      </w:r>
    </w:p>
  </w:footnote>
  <w:footnote w:id="1">
    <w:p w14:paraId="25D456B7" w14:textId="77777777" w:rsidR="00920C5D" w:rsidRPr="00C73AAE" w:rsidRDefault="00920C5D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A Bank jelentősnek az 5 millió Ft-ot meghaladó olyan veszteséget tekinti, amely a normál üzleti működés során, tranzakcióból vagy annak lebonyolításából származik. A kettős szankcionálás elkerülése érdekében, ebben az értelemben nem tekintendő veszteségnek a hatósági bírság.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4CD77" w14:textId="01C95D8D" w:rsidR="00920C5D" w:rsidRPr="006A33D8" w:rsidRDefault="00920C5D" w:rsidP="006A33D8">
    <w:pPr>
      <w:pStyle w:val="lfej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6A33D8">
      <w:rPr>
        <w:rFonts w:ascii="Times New Roman" w:hAnsi="Times New Roman" w:cs="Times New Roman"/>
        <w:sz w:val="24"/>
        <w:szCs w:val="24"/>
      </w:rPr>
      <w:t>Javadalmazási Politika</w:t>
    </w:r>
    <w:r w:rsidRPr="006A33D8">
      <w:rPr>
        <w:rFonts w:ascii="Times New Roman" w:hAnsi="Times New Roman" w:cs="Times New Roman"/>
        <w:sz w:val="24"/>
        <w:szCs w:val="24"/>
      </w:rPr>
      <w:tab/>
    </w:r>
    <w:r w:rsidRPr="006A33D8">
      <w:rPr>
        <w:rFonts w:ascii="Times New Roman" w:hAnsi="Times New Roman" w:cs="Times New Roman"/>
        <w:sz w:val="24"/>
        <w:szCs w:val="24"/>
      </w:rPr>
      <w:tab/>
      <w:t xml:space="preserve">Hatályos: </w:t>
    </w:r>
    <w:r>
      <w:rPr>
        <w:rFonts w:ascii="Times New Roman" w:hAnsi="Times New Roman" w:cs="Times New Roman"/>
        <w:sz w:val="24"/>
        <w:szCs w:val="24"/>
      </w:rPr>
      <w:t xml:space="preserve">2022. </w:t>
    </w:r>
    <w:r w:rsidR="00E92F8A">
      <w:rPr>
        <w:rFonts w:ascii="Times New Roman" w:hAnsi="Times New Roman" w:cs="Times New Roman"/>
        <w:sz w:val="24"/>
        <w:szCs w:val="24"/>
      </w:rPr>
      <w:t>augusztus 10</w:t>
    </w:r>
    <w:r>
      <w:rPr>
        <w:rFonts w:ascii="Times New Roman" w:hAnsi="Times New Roman" w:cs="Times New Roman"/>
        <w:sz w:val="24"/>
        <w:szCs w:val="24"/>
      </w:rPr>
      <w:t>-</w:t>
    </w:r>
    <w:r w:rsidRPr="006A33D8">
      <w:rPr>
        <w:rFonts w:ascii="Times New Roman" w:hAnsi="Times New Roman" w:cs="Times New Roman"/>
        <w:sz w:val="24"/>
        <w:szCs w:val="24"/>
      </w:rPr>
      <w:t>t</w:t>
    </w:r>
    <w:r>
      <w:rPr>
        <w:rFonts w:ascii="Times New Roman" w:hAnsi="Times New Roman" w:cs="Times New Roman"/>
        <w:sz w:val="24"/>
        <w:szCs w:val="24"/>
      </w:rPr>
      <w:t>ő</w:t>
    </w:r>
    <w:r w:rsidRPr="006A33D8">
      <w:rPr>
        <w:rFonts w:ascii="Times New Roman" w:hAnsi="Times New Roman" w:cs="Times New Roman"/>
        <w:sz w:val="24"/>
        <w:szCs w:val="24"/>
      </w:rPr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18E"/>
    <w:multiLevelType w:val="hybridMultilevel"/>
    <w:tmpl w:val="F4EC9D40"/>
    <w:lvl w:ilvl="0" w:tplc="51F0E3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44DF1"/>
    <w:multiLevelType w:val="hybridMultilevel"/>
    <w:tmpl w:val="A126D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358C"/>
    <w:multiLevelType w:val="hybridMultilevel"/>
    <w:tmpl w:val="FAA8C5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96F"/>
    <w:multiLevelType w:val="hybridMultilevel"/>
    <w:tmpl w:val="3B2EADD0"/>
    <w:lvl w:ilvl="0" w:tplc="C69CE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138C"/>
    <w:multiLevelType w:val="hybridMultilevel"/>
    <w:tmpl w:val="7D327E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56A87"/>
    <w:multiLevelType w:val="hybridMultilevel"/>
    <w:tmpl w:val="1ED2B9C0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0E649A5"/>
    <w:multiLevelType w:val="hybridMultilevel"/>
    <w:tmpl w:val="83E2DAEA"/>
    <w:lvl w:ilvl="0" w:tplc="CBFCF724">
      <w:start w:val="1"/>
      <w:numFmt w:val="lowerLetter"/>
      <w:lvlText w:val="%1.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B956A5B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963606"/>
    <w:multiLevelType w:val="hybridMultilevel"/>
    <w:tmpl w:val="6CCA1ED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BE5D75"/>
    <w:multiLevelType w:val="hybridMultilevel"/>
    <w:tmpl w:val="175A4A48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09A50A6"/>
    <w:multiLevelType w:val="hybridMultilevel"/>
    <w:tmpl w:val="61742FC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B678EA"/>
    <w:multiLevelType w:val="hybridMultilevel"/>
    <w:tmpl w:val="D3784C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B6FD9"/>
    <w:multiLevelType w:val="hybridMultilevel"/>
    <w:tmpl w:val="69845D78"/>
    <w:lvl w:ilvl="0" w:tplc="040E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 w15:restartNumberingAfterBreak="0">
    <w:nsid w:val="3A260283"/>
    <w:multiLevelType w:val="hybridMultilevel"/>
    <w:tmpl w:val="670E0A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47BC707E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94C02"/>
    <w:multiLevelType w:val="hybridMultilevel"/>
    <w:tmpl w:val="4DEA9FFE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0D03B40"/>
    <w:multiLevelType w:val="hybridMultilevel"/>
    <w:tmpl w:val="92122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F4631B"/>
    <w:multiLevelType w:val="hybridMultilevel"/>
    <w:tmpl w:val="A56A80E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2631286"/>
    <w:multiLevelType w:val="hybridMultilevel"/>
    <w:tmpl w:val="A2F29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E48DC"/>
    <w:multiLevelType w:val="hybridMultilevel"/>
    <w:tmpl w:val="A9546FEE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778174C"/>
    <w:multiLevelType w:val="hybridMultilevel"/>
    <w:tmpl w:val="F74E2100"/>
    <w:lvl w:ilvl="0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98665A4"/>
    <w:multiLevelType w:val="hybridMultilevel"/>
    <w:tmpl w:val="251C1D1C"/>
    <w:lvl w:ilvl="0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9C97196"/>
    <w:multiLevelType w:val="hybridMultilevel"/>
    <w:tmpl w:val="C78247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DB8493B"/>
    <w:multiLevelType w:val="hybridMultilevel"/>
    <w:tmpl w:val="62A6113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9F45FC"/>
    <w:multiLevelType w:val="hybridMultilevel"/>
    <w:tmpl w:val="49A0DB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B779D"/>
    <w:multiLevelType w:val="hybridMultilevel"/>
    <w:tmpl w:val="D3784C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B66BF"/>
    <w:multiLevelType w:val="hybridMultilevel"/>
    <w:tmpl w:val="B266A8C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30A7A50">
      <w:numFmt w:val="bullet"/>
      <w:lvlText w:val="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AC64D2"/>
    <w:multiLevelType w:val="hybridMultilevel"/>
    <w:tmpl w:val="3CB0B0D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6E23207"/>
    <w:multiLevelType w:val="multilevel"/>
    <w:tmpl w:val="CE1E1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16517"/>
    <w:multiLevelType w:val="hybridMultilevel"/>
    <w:tmpl w:val="C76C08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954C0C"/>
    <w:multiLevelType w:val="hybridMultilevel"/>
    <w:tmpl w:val="5A584BC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F3D4F76"/>
    <w:multiLevelType w:val="hybridMultilevel"/>
    <w:tmpl w:val="687AA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E6090"/>
    <w:multiLevelType w:val="multilevel"/>
    <w:tmpl w:val="7366A6E4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31" w15:restartNumberingAfterBreak="0">
    <w:nsid w:val="74053CEB"/>
    <w:multiLevelType w:val="hybridMultilevel"/>
    <w:tmpl w:val="732A880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6812A5"/>
    <w:multiLevelType w:val="hybridMultilevel"/>
    <w:tmpl w:val="E6249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49A86">
      <w:start w:val="7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361ED"/>
    <w:multiLevelType w:val="hybridMultilevel"/>
    <w:tmpl w:val="D1EE4318"/>
    <w:lvl w:ilvl="0" w:tplc="C92E98E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C70EAD"/>
    <w:multiLevelType w:val="hybridMultilevel"/>
    <w:tmpl w:val="5A061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F3823"/>
    <w:multiLevelType w:val="hybridMultilevel"/>
    <w:tmpl w:val="993E86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81D7A"/>
    <w:multiLevelType w:val="hybridMultilevel"/>
    <w:tmpl w:val="F664E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6"/>
  </w:num>
  <w:num w:numId="4">
    <w:abstractNumId w:val="8"/>
  </w:num>
  <w:num w:numId="5">
    <w:abstractNumId w:val="26"/>
  </w:num>
  <w:num w:numId="6">
    <w:abstractNumId w:val="2"/>
  </w:num>
  <w:num w:numId="7">
    <w:abstractNumId w:val="7"/>
  </w:num>
  <w:num w:numId="8">
    <w:abstractNumId w:val="17"/>
  </w:num>
  <w:num w:numId="9">
    <w:abstractNumId w:val="11"/>
  </w:num>
  <w:num w:numId="10">
    <w:abstractNumId w:val="29"/>
  </w:num>
  <w:num w:numId="11">
    <w:abstractNumId w:val="33"/>
  </w:num>
  <w:num w:numId="12">
    <w:abstractNumId w:val="20"/>
  </w:num>
  <w:num w:numId="13">
    <w:abstractNumId w:val="13"/>
  </w:num>
  <w:num w:numId="14">
    <w:abstractNumId w:val="25"/>
  </w:num>
  <w:num w:numId="15">
    <w:abstractNumId w:val="16"/>
  </w:num>
  <w:num w:numId="16">
    <w:abstractNumId w:val="35"/>
  </w:num>
  <w:num w:numId="17">
    <w:abstractNumId w:val="31"/>
  </w:num>
  <w:num w:numId="18">
    <w:abstractNumId w:val="14"/>
  </w:num>
  <w:num w:numId="19">
    <w:abstractNumId w:val="27"/>
  </w:num>
  <w:num w:numId="20">
    <w:abstractNumId w:val="30"/>
  </w:num>
  <w:num w:numId="21">
    <w:abstractNumId w:val="21"/>
  </w:num>
  <w:num w:numId="22">
    <w:abstractNumId w:val="19"/>
  </w:num>
  <w:num w:numId="23">
    <w:abstractNumId w:val="18"/>
  </w:num>
  <w:num w:numId="24">
    <w:abstractNumId w:val="32"/>
  </w:num>
  <w:num w:numId="25">
    <w:abstractNumId w:val="28"/>
  </w:num>
  <w:num w:numId="26">
    <w:abstractNumId w:val="5"/>
  </w:num>
  <w:num w:numId="27">
    <w:abstractNumId w:val="23"/>
  </w:num>
  <w:num w:numId="28">
    <w:abstractNumId w:val="15"/>
  </w:num>
  <w:num w:numId="29">
    <w:abstractNumId w:val="34"/>
  </w:num>
  <w:num w:numId="30">
    <w:abstractNumId w:val="4"/>
  </w:num>
  <w:num w:numId="31">
    <w:abstractNumId w:val="36"/>
  </w:num>
  <w:num w:numId="32">
    <w:abstractNumId w:val="1"/>
  </w:num>
  <w:num w:numId="33">
    <w:abstractNumId w:val="10"/>
  </w:num>
  <w:num w:numId="34">
    <w:abstractNumId w:val="3"/>
  </w:num>
  <w:num w:numId="35">
    <w:abstractNumId w:val="0"/>
  </w:num>
  <w:num w:numId="36">
    <w:abstractNumId w:val="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B3"/>
    <w:rsid w:val="00001917"/>
    <w:rsid w:val="00003151"/>
    <w:rsid w:val="00003C88"/>
    <w:rsid w:val="00004067"/>
    <w:rsid w:val="00006A14"/>
    <w:rsid w:val="00007D9B"/>
    <w:rsid w:val="00012490"/>
    <w:rsid w:val="000136A7"/>
    <w:rsid w:val="00020BDB"/>
    <w:rsid w:val="0002356E"/>
    <w:rsid w:val="00024022"/>
    <w:rsid w:val="0002573C"/>
    <w:rsid w:val="0002639B"/>
    <w:rsid w:val="00027393"/>
    <w:rsid w:val="00027A0F"/>
    <w:rsid w:val="000309EE"/>
    <w:rsid w:val="0003105B"/>
    <w:rsid w:val="00031FAA"/>
    <w:rsid w:val="00035AC4"/>
    <w:rsid w:val="000361E7"/>
    <w:rsid w:val="00036684"/>
    <w:rsid w:val="0003728D"/>
    <w:rsid w:val="00041108"/>
    <w:rsid w:val="00056FD4"/>
    <w:rsid w:val="0006136F"/>
    <w:rsid w:val="00061C87"/>
    <w:rsid w:val="000622E7"/>
    <w:rsid w:val="00063299"/>
    <w:rsid w:val="00066DF6"/>
    <w:rsid w:val="00071EC4"/>
    <w:rsid w:val="000819DD"/>
    <w:rsid w:val="00084F2C"/>
    <w:rsid w:val="000933F4"/>
    <w:rsid w:val="00096884"/>
    <w:rsid w:val="000A13DD"/>
    <w:rsid w:val="000A4C5E"/>
    <w:rsid w:val="000B0133"/>
    <w:rsid w:val="000B3D82"/>
    <w:rsid w:val="000B4E2B"/>
    <w:rsid w:val="000C0A50"/>
    <w:rsid w:val="000C0D02"/>
    <w:rsid w:val="000C3F8A"/>
    <w:rsid w:val="000C470E"/>
    <w:rsid w:val="000D78B7"/>
    <w:rsid w:val="000D7CB0"/>
    <w:rsid w:val="000E5A62"/>
    <w:rsid w:val="000F40FC"/>
    <w:rsid w:val="000F4B51"/>
    <w:rsid w:val="000F54F0"/>
    <w:rsid w:val="0010114D"/>
    <w:rsid w:val="001017B4"/>
    <w:rsid w:val="0010413D"/>
    <w:rsid w:val="001063F2"/>
    <w:rsid w:val="00117103"/>
    <w:rsid w:val="00120EB0"/>
    <w:rsid w:val="00122EA8"/>
    <w:rsid w:val="0012387A"/>
    <w:rsid w:val="00127EA9"/>
    <w:rsid w:val="00132FFF"/>
    <w:rsid w:val="0014188D"/>
    <w:rsid w:val="001464D3"/>
    <w:rsid w:val="00150AF5"/>
    <w:rsid w:val="001519C5"/>
    <w:rsid w:val="00152013"/>
    <w:rsid w:val="00152A1E"/>
    <w:rsid w:val="00153824"/>
    <w:rsid w:val="00167F36"/>
    <w:rsid w:val="0017080C"/>
    <w:rsid w:val="00170CF9"/>
    <w:rsid w:val="001752FB"/>
    <w:rsid w:val="001757F5"/>
    <w:rsid w:val="001776A3"/>
    <w:rsid w:val="00183016"/>
    <w:rsid w:val="00183150"/>
    <w:rsid w:val="0018356C"/>
    <w:rsid w:val="00185F47"/>
    <w:rsid w:val="00186901"/>
    <w:rsid w:val="0019008A"/>
    <w:rsid w:val="00190C5B"/>
    <w:rsid w:val="001923CF"/>
    <w:rsid w:val="00194D3B"/>
    <w:rsid w:val="00197D31"/>
    <w:rsid w:val="001A3FB0"/>
    <w:rsid w:val="001A70B3"/>
    <w:rsid w:val="001B0027"/>
    <w:rsid w:val="001B4A85"/>
    <w:rsid w:val="001B65F0"/>
    <w:rsid w:val="001C0B1B"/>
    <w:rsid w:val="001C1371"/>
    <w:rsid w:val="001C3EFE"/>
    <w:rsid w:val="001C6756"/>
    <w:rsid w:val="001D3F3E"/>
    <w:rsid w:val="001E12AD"/>
    <w:rsid w:val="001E3749"/>
    <w:rsid w:val="001E4B5E"/>
    <w:rsid w:val="001E5E39"/>
    <w:rsid w:val="001E6E64"/>
    <w:rsid w:val="001F5B1B"/>
    <w:rsid w:val="001F62E8"/>
    <w:rsid w:val="00202B52"/>
    <w:rsid w:val="00206D74"/>
    <w:rsid w:val="00211035"/>
    <w:rsid w:val="00212B4E"/>
    <w:rsid w:val="00214F78"/>
    <w:rsid w:val="002160AA"/>
    <w:rsid w:val="0021707B"/>
    <w:rsid w:val="00224C9D"/>
    <w:rsid w:val="00225A44"/>
    <w:rsid w:val="002445C4"/>
    <w:rsid w:val="00251B47"/>
    <w:rsid w:val="002567EC"/>
    <w:rsid w:val="00256C2D"/>
    <w:rsid w:val="00257648"/>
    <w:rsid w:val="00264B02"/>
    <w:rsid w:val="002659F9"/>
    <w:rsid w:val="00266370"/>
    <w:rsid w:val="00267437"/>
    <w:rsid w:val="00267945"/>
    <w:rsid w:val="00270685"/>
    <w:rsid w:val="002759B0"/>
    <w:rsid w:val="00275A67"/>
    <w:rsid w:val="00277D8D"/>
    <w:rsid w:val="0028364C"/>
    <w:rsid w:val="00284108"/>
    <w:rsid w:val="002932E2"/>
    <w:rsid w:val="00297B62"/>
    <w:rsid w:val="002A3CA1"/>
    <w:rsid w:val="002A6CE9"/>
    <w:rsid w:val="002B3F55"/>
    <w:rsid w:val="002B48CD"/>
    <w:rsid w:val="002C1797"/>
    <w:rsid w:val="002C1C47"/>
    <w:rsid w:val="002C364F"/>
    <w:rsid w:val="002C71C3"/>
    <w:rsid w:val="002C770B"/>
    <w:rsid w:val="002D1BC8"/>
    <w:rsid w:val="002D2C96"/>
    <w:rsid w:val="002D322A"/>
    <w:rsid w:val="002D79A2"/>
    <w:rsid w:val="002E24B4"/>
    <w:rsid w:val="002E4454"/>
    <w:rsid w:val="002E5184"/>
    <w:rsid w:val="002E79A6"/>
    <w:rsid w:val="002F0CF9"/>
    <w:rsid w:val="002F354C"/>
    <w:rsid w:val="002F7C6E"/>
    <w:rsid w:val="002F7CFC"/>
    <w:rsid w:val="00307928"/>
    <w:rsid w:val="00314C54"/>
    <w:rsid w:val="00316DD6"/>
    <w:rsid w:val="00320FFF"/>
    <w:rsid w:val="00323A14"/>
    <w:rsid w:val="003256B8"/>
    <w:rsid w:val="0032706A"/>
    <w:rsid w:val="00332374"/>
    <w:rsid w:val="00333228"/>
    <w:rsid w:val="00334554"/>
    <w:rsid w:val="00340CF6"/>
    <w:rsid w:val="0034341A"/>
    <w:rsid w:val="00343A52"/>
    <w:rsid w:val="00343DC9"/>
    <w:rsid w:val="003461D6"/>
    <w:rsid w:val="00346CBF"/>
    <w:rsid w:val="003515CA"/>
    <w:rsid w:val="00352E20"/>
    <w:rsid w:val="003616DB"/>
    <w:rsid w:val="00361C80"/>
    <w:rsid w:val="00366A96"/>
    <w:rsid w:val="003673B8"/>
    <w:rsid w:val="003677DC"/>
    <w:rsid w:val="00367ACC"/>
    <w:rsid w:val="00371669"/>
    <w:rsid w:val="00376751"/>
    <w:rsid w:val="00384867"/>
    <w:rsid w:val="00387C20"/>
    <w:rsid w:val="003908E8"/>
    <w:rsid w:val="0039203C"/>
    <w:rsid w:val="00392988"/>
    <w:rsid w:val="00392FDA"/>
    <w:rsid w:val="003942BF"/>
    <w:rsid w:val="00395026"/>
    <w:rsid w:val="00397A70"/>
    <w:rsid w:val="00397CC1"/>
    <w:rsid w:val="003A047B"/>
    <w:rsid w:val="003A1102"/>
    <w:rsid w:val="003A373B"/>
    <w:rsid w:val="003A660C"/>
    <w:rsid w:val="003A6749"/>
    <w:rsid w:val="003A72E3"/>
    <w:rsid w:val="003B182E"/>
    <w:rsid w:val="003B459D"/>
    <w:rsid w:val="003B56A1"/>
    <w:rsid w:val="003B7235"/>
    <w:rsid w:val="003C4AC2"/>
    <w:rsid w:val="003C5853"/>
    <w:rsid w:val="003C5EB7"/>
    <w:rsid w:val="003C77CA"/>
    <w:rsid w:val="003D2C42"/>
    <w:rsid w:val="003D2FD1"/>
    <w:rsid w:val="003D3667"/>
    <w:rsid w:val="003D790A"/>
    <w:rsid w:val="003E01E4"/>
    <w:rsid w:val="003E0ECD"/>
    <w:rsid w:val="003E1412"/>
    <w:rsid w:val="003E4255"/>
    <w:rsid w:val="003E4385"/>
    <w:rsid w:val="003E59AA"/>
    <w:rsid w:val="003F5EAE"/>
    <w:rsid w:val="003F6DEE"/>
    <w:rsid w:val="0040168E"/>
    <w:rsid w:val="00402A33"/>
    <w:rsid w:val="00404F12"/>
    <w:rsid w:val="00405AD9"/>
    <w:rsid w:val="00414A53"/>
    <w:rsid w:val="00415B1C"/>
    <w:rsid w:val="00421906"/>
    <w:rsid w:val="0042482F"/>
    <w:rsid w:val="00424CD8"/>
    <w:rsid w:val="00424D1A"/>
    <w:rsid w:val="00430401"/>
    <w:rsid w:val="00430C6E"/>
    <w:rsid w:val="00430E63"/>
    <w:rsid w:val="00442F8D"/>
    <w:rsid w:val="00443088"/>
    <w:rsid w:val="004439BB"/>
    <w:rsid w:val="004441FC"/>
    <w:rsid w:val="00453D5E"/>
    <w:rsid w:val="00453DEC"/>
    <w:rsid w:val="00464629"/>
    <w:rsid w:val="004661E4"/>
    <w:rsid w:val="004713D9"/>
    <w:rsid w:val="00471BE3"/>
    <w:rsid w:val="0047785C"/>
    <w:rsid w:val="00480929"/>
    <w:rsid w:val="004870B4"/>
    <w:rsid w:val="004879FE"/>
    <w:rsid w:val="00490ACA"/>
    <w:rsid w:val="004916BF"/>
    <w:rsid w:val="0049391E"/>
    <w:rsid w:val="004A228C"/>
    <w:rsid w:val="004A3CA6"/>
    <w:rsid w:val="004B1D01"/>
    <w:rsid w:val="004B3383"/>
    <w:rsid w:val="004B4243"/>
    <w:rsid w:val="004B5AF0"/>
    <w:rsid w:val="004B6996"/>
    <w:rsid w:val="004B7A0E"/>
    <w:rsid w:val="004C648E"/>
    <w:rsid w:val="004C66C9"/>
    <w:rsid w:val="004D0938"/>
    <w:rsid w:val="004D3FF8"/>
    <w:rsid w:val="004D56D6"/>
    <w:rsid w:val="004D6CF4"/>
    <w:rsid w:val="004E170F"/>
    <w:rsid w:val="004E45E9"/>
    <w:rsid w:val="004E4A4F"/>
    <w:rsid w:val="004F38B4"/>
    <w:rsid w:val="004F3B84"/>
    <w:rsid w:val="004F7EE3"/>
    <w:rsid w:val="00504BB5"/>
    <w:rsid w:val="00505DC0"/>
    <w:rsid w:val="00505EA3"/>
    <w:rsid w:val="00510F0D"/>
    <w:rsid w:val="0051160D"/>
    <w:rsid w:val="00511E76"/>
    <w:rsid w:val="005138B7"/>
    <w:rsid w:val="00515770"/>
    <w:rsid w:val="0051645A"/>
    <w:rsid w:val="005209DE"/>
    <w:rsid w:val="00524078"/>
    <w:rsid w:val="00524585"/>
    <w:rsid w:val="00527749"/>
    <w:rsid w:val="005308C8"/>
    <w:rsid w:val="00530D48"/>
    <w:rsid w:val="00547B22"/>
    <w:rsid w:val="00547E14"/>
    <w:rsid w:val="005531E9"/>
    <w:rsid w:val="005537E8"/>
    <w:rsid w:val="005616E7"/>
    <w:rsid w:val="00563917"/>
    <w:rsid w:val="0057290F"/>
    <w:rsid w:val="0057437D"/>
    <w:rsid w:val="00582330"/>
    <w:rsid w:val="00583CC6"/>
    <w:rsid w:val="00586F4A"/>
    <w:rsid w:val="0058710A"/>
    <w:rsid w:val="00587A03"/>
    <w:rsid w:val="005900BF"/>
    <w:rsid w:val="00590302"/>
    <w:rsid w:val="00590C62"/>
    <w:rsid w:val="00592017"/>
    <w:rsid w:val="00592FE9"/>
    <w:rsid w:val="005951B2"/>
    <w:rsid w:val="005965EC"/>
    <w:rsid w:val="0059797D"/>
    <w:rsid w:val="005A64B5"/>
    <w:rsid w:val="005A6CEF"/>
    <w:rsid w:val="005A7570"/>
    <w:rsid w:val="005A7EB1"/>
    <w:rsid w:val="005B495F"/>
    <w:rsid w:val="005B4A58"/>
    <w:rsid w:val="005C1C87"/>
    <w:rsid w:val="005C2435"/>
    <w:rsid w:val="005C2A2F"/>
    <w:rsid w:val="005C3624"/>
    <w:rsid w:val="005C603E"/>
    <w:rsid w:val="005D1CD2"/>
    <w:rsid w:val="005D4540"/>
    <w:rsid w:val="005D7DD7"/>
    <w:rsid w:val="005D7F10"/>
    <w:rsid w:val="005E1AC1"/>
    <w:rsid w:val="005E4C00"/>
    <w:rsid w:val="005E7603"/>
    <w:rsid w:val="005F101A"/>
    <w:rsid w:val="005F41D5"/>
    <w:rsid w:val="00602D76"/>
    <w:rsid w:val="00611542"/>
    <w:rsid w:val="006137FF"/>
    <w:rsid w:val="00615960"/>
    <w:rsid w:val="00622E0F"/>
    <w:rsid w:val="006261AD"/>
    <w:rsid w:val="006301FA"/>
    <w:rsid w:val="006309CB"/>
    <w:rsid w:val="00630A6A"/>
    <w:rsid w:val="00632A55"/>
    <w:rsid w:val="00641DF2"/>
    <w:rsid w:val="006422AF"/>
    <w:rsid w:val="00644CE0"/>
    <w:rsid w:val="006455D2"/>
    <w:rsid w:val="006514C7"/>
    <w:rsid w:val="0065186A"/>
    <w:rsid w:val="0065226F"/>
    <w:rsid w:val="0065716D"/>
    <w:rsid w:val="00660D79"/>
    <w:rsid w:val="00661E02"/>
    <w:rsid w:val="00662F84"/>
    <w:rsid w:val="00665238"/>
    <w:rsid w:val="00671176"/>
    <w:rsid w:val="006735C6"/>
    <w:rsid w:val="00674257"/>
    <w:rsid w:val="00674813"/>
    <w:rsid w:val="00676CE3"/>
    <w:rsid w:val="006855D9"/>
    <w:rsid w:val="00693E01"/>
    <w:rsid w:val="00697B75"/>
    <w:rsid w:val="006A1CB1"/>
    <w:rsid w:val="006A332C"/>
    <w:rsid w:val="006A33D8"/>
    <w:rsid w:val="006A34CA"/>
    <w:rsid w:val="006B0D8C"/>
    <w:rsid w:val="006B22CC"/>
    <w:rsid w:val="006C01EF"/>
    <w:rsid w:val="006C5074"/>
    <w:rsid w:val="006E63D4"/>
    <w:rsid w:val="006F4A83"/>
    <w:rsid w:val="006F63EF"/>
    <w:rsid w:val="006F6E79"/>
    <w:rsid w:val="00703049"/>
    <w:rsid w:val="00713086"/>
    <w:rsid w:val="00713A24"/>
    <w:rsid w:val="0071441C"/>
    <w:rsid w:val="00715975"/>
    <w:rsid w:val="00724739"/>
    <w:rsid w:val="00733B7D"/>
    <w:rsid w:val="00736643"/>
    <w:rsid w:val="007373B5"/>
    <w:rsid w:val="00740E56"/>
    <w:rsid w:val="0074282C"/>
    <w:rsid w:val="00745782"/>
    <w:rsid w:val="0075704C"/>
    <w:rsid w:val="00764575"/>
    <w:rsid w:val="00770BAB"/>
    <w:rsid w:val="00771910"/>
    <w:rsid w:val="0077338A"/>
    <w:rsid w:val="00782583"/>
    <w:rsid w:val="00782B1F"/>
    <w:rsid w:val="007871DF"/>
    <w:rsid w:val="0079036A"/>
    <w:rsid w:val="00791A7A"/>
    <w:rsid w:val="00794ED2"/>
    <w:rsid w:val="007A2F76"/>
    <w:rsid w:val="007A347A"/>
    <w:rsid w:val="007A4125"/>
    <w:rsid w:val="007B0609"/>
    <w:rsid w:val="007B52C9"/>
    <w:rsid w:val="007B5FAA"/>
    <w:rsid w:val="007C4E13"/>
    <w:rsid w:val="007D0980"/>
    <w:rsid w:val="007D35FC"/>
    <w:rsid w:val="007D49CE"/>
    <w:rsid w:val="007D7D69"/>
    <w:rsid w:val="007E0874"/>
    <w:rsid w:val="007E5B81"/>
    <w:rsid w:val="007F18D9"/>
    <w:rsid w:val="007F2CF3"/>
    <w:rsid w:val="00804319"/>
    <w:rsid w:val="00810040"/>
    <w:rsid w:val="00812587"/>
    <w:rsid w:val="0081265A"/>
    <w:rsid w:val="008132CD"/>
    <w:rsid w:val="00813BC8"/>
    <w:rsid w:val="00820149"/>
    <w:rsid w:val="0082129F"/>
    <w:rsid w:val="008238BE"/>
    <w:rsid w:val="00824B18"/>
    <w:rsid w:val="00832CF4"/>
    <w:rsid w:val="008338F1"/>
    <w:rsid w:val="0084155E"/>
    <w:rsid w:val="008415D8"/>
    <w:rsid w:val="00843158"/>
    <w:rsid w:val="00847291"/>
    <w:rsid w:val="008508C0"/>
    <w:rsid w:val="008515C9"/>
    <w:rsid w:val="008551F0"/>
    <w:rsid w:val="008755AF"/>
    <w:rsid w:val="0087621C"/>
    <w:rsid w:val="00877656"/>
    <w:rsid w:val="0088331C"/>
    <w:rsid w:val="008839A7"/>
    <w:rsid w:val="00884BFD"/>
    <w:rsid w:val="008877A4"/>
    <w:rsid w:val="0089185B"/>
    <w:rsid w:val="008939CB"/>
    <w:rsid w:val="0089520B"/>
    <w:rsid w:val="008A0781"/>
    <w:rsid w:val="008A1714"/>
    <w:rsid w:val="008A2050"/>
    <w:rsid w:val="008A3F80"/>
    <w:rsid w:val="008B07F9"/>
    <w:rsid w:val="008B6141"/>
    <w:rsid w:val="008C3784"/>
    <w:rsid w:val="008C3DC6"/>
    <w:rsid w:val="008C62D8"/>
    <w:rsid w:val="008D0565"/>
    <w:rsid w:val="008D625E"/>
    <w:rsid w:val="008D6A8A"/>
    <w:rsid w:val="008D6CAD"/>
    <w:rsid w:val="008D72AB"/>
    <w:rsid w:val="008E0E37"/>
    <w:rsid w:val="008E3464"/>
    <w:rsid w:val="008F214A"/>
    <w:rsid w:val="009010ED"/>
    <w:rsid w:val="009019E6"/>
    <w:rsid w:val="0090245E"/>
    <w:rsid w:val="00911DB1"/>
    <w:rsid w:val="009149BC"/>
    <w:rsid w:val="00914B0F"/>
    <w:rsid w:val="00915FEA"/>
    <w:rsid w:val="00920C5D"/>
    <w:rsid w:val="00920CEE"/>
    <w:rsid w:val="00922DF6"/>
    <w:rsid w:val="00923AB4"/>
    <w:rsid w:val="00923DBB"/>
    <w:rsid w:val="009244D0"/>
    <w:rsid w:val="0092473B"/>
    <w:rsid w:val="00924BA9"/>
    <w:rsid w:val="00925327"/>
    <w:rsid w:val="00927FFD"/>
    <w:rsid w:val="00931343"/>
    <w:rsid w:val="00931CFC"/>
    <w:rsid w:val="009342C6"/>
    <w:rsid w:val="009412DA"/>
    <w:rsid w:val="00942501"/>
    <w:rsid w:val="009429A2"/>
    <w:rsid w:val="009429F2"/>
    <w:rsid w:val="00944229"/>
    <w:rsid w:val="00944606"/>
    <w:rsid w:val="00945776"/>
    <w:rsid w:val="00947258"/>
    <w:rsid w:val="00954CB8"/>
    <w:rsid w:val="00955841"/>
    <w:rsid w:val="009569A4"/>
    <w:rsid w:val="00960F90"/>
    <w:rsid w:val="009614C9"/>
    <w:rsid w:val="00962A98"/>
    <w:rsid w:val="00962BD8"/>
    <w:rsid w:val="009639CF"/>
    <w:rsid w:val="00963F49"/>
    <w:rsid w:val="00970D55"/>
    <w:rsid w:val="00982083"/>
    <w:rsid w:val="00983633"/>
    <w:rsid w:val="00984B6A"/>
    <w:rsid w:val="00985C9C"/>
    <w:rsid w:val="00993227"/>
    <w:rsid w:val="009A3373"/>
    <w:rsid w:val="009A4120"/>
    <w:rsid w:val="009A5352"/>
    <w:rsid w:val="009A59C9"/>
    <w:rsid w:val="009B0607"/>
    <w:rsid w:val="009B5730"/>
    <w:rsid w:val="009B5DA6"/>
    <w:rsid w:val="009C21B2"/>
    <w:rsid w:val="009D172A"/>
    <w:rsid w:val="009D25C9"/>
    <w:rsid w:val="009D2711"/>
    <w:rsid w:val="009D4F31"/>
    <w:rsid w:val="009E09C1"/>
    <w:rsid w:val="009E41C7"/>
    <w:rsid w:val="009E5A4B"/>
    <w:rsid w:val="009F4910"/>
    <w:rsid w:val="00A03A7F"/>
    <w:rsid w:val="00A07497"/>
    <w:rsid w:val="00A10053"/>
    <w:rsid w:val="00A10266"/>
    <w:rsid w:val="00A10E94"/>
    <w:rsid w:val="00A24B5A"/>
    <w:rsid w:val="00A315BB"/>
    <w:rsid w:val="00A323B9"/>
    <w:rsid w:val="00A32477"/>
    <w:rsid w:val="00A342E2"/>
    <w:rsid w:val="00A34F74"/>
    <w:rsid w:val="00A35659"/>
    <w:rsid w:val="00A448C3"/>
    <w:rsid w:val="00A45F72"/>
    <w:rsid w:val="00A47FCB"/>
    <w:rsid w:val="00A50117"/>
    <w:rsid w:val="00A502E5"/>
    <w:rsid w:val="00A52160"/>
    <w:rsid w:val="00A5292E"/>
    <w:rsid w:val="00A55027"/>
    <w:rsid w:val="00A65FE0"/>
    <w:rsid w:val="00A71DBA"/>
    <w:rsid w:val="00A76813"/>
    <w:rsid w:val="00A844A6"/>
    <w:rsid w:val="00A85586"/>
    <w:rsid w:val="00A86A9D"/>
    <w:rsid w:val="00A879F7"/>
    <w:rsid w:val="00A9028E"/>
    <w:rsid w:val="00A93E6E"/>
    <w:rsid w:val="00A967A9"/>
    <w:rsid w:val="00AA0BD0"/>
    <w:rsid w:val="00AA21F0"/>
    <w:rsid w:val="00AA3F2C"/>
    <w:rsid w:val="00AA5138"/>
    <w:rsid w:val="00AB008E"/>
    <w:rsid w:val="00AB4BFA"/>
    <w:rsid w:val="00AB64AA"/>
    <w:rsid w:val="00AC1A16"/>
    <w:rsid w:val="00AC4B0D"/>
    <w:rsid w:val="00AC697E"/>
    <w:rsid w:val="00AC7C2E"/>
    <w:rsid w:val="00AD44FF"/>
    <w:rsid w:val="00AD538B"/>
    <w:rsid w:val="00AD6213"/>
    <w:rsid w:val="00AD6981"/>
    <w:rsid w:val="00AD72B5"/>
    <w:rsid w:val="00AE39B0"/>
    <w:rsid w:val="00AE61D4"/>
    <w:rsid w:val="00AF5716"/>
    <w:rsid w:val="00AF7B13"/>
    <w:rsid w:val="00B01F5C"/>
    <w:rsid w:val="00B021AE"/>
    <w:rsid w:val="00B1161C"/>
    <w:rsid w:val="00B16906"/>
    <w:rsid w:val="00B23590"/>
    <w:rsid w:val="00B3696A"/>
    <w:rsid w:val="00B37012"/>
    <w:rsid w:val="00B3777F"/>
    <w:rsid w:val="00B40543"/>
    <w:rsid w:val="00B42410"/>
    <w:rsid w:val="00B42EDC"/>
    <w:rsid w:val="00B45A0B"/>
    <w:rsid w:val="00B5311A"/>
    <w:rsid w:val="00B53829"/>
    <w:rsid w:val="00B53FE2"/>
    <w:rsid w:val="00B5501F"/>
    <w:rsid w:val="00B6047F"/>
    <w:rsid w:val="00B62FA8"/>
    <w:rsid w:val="00B65A95"/>
    <w:rsid w:val="00B662E0"/>
    <w:rsid w:val="00B71F25"/>
    <w:rsid w:val="00B7212F"/>
    <w:rsid w:val="00B722D1"/>
    <w:rsid w:val="00B72F34"/>
    <w:rsid w:val="00B77D91"/>
    <w:rsid w:val="00B77F4F"/>
    <w:rsid w:val="00B82328"/>
    <w:rsid w:val="00B97E1E"/>
    <w:rsid w:val="00BA0BDD"/>
    <w:rsid w:val="00BA1686"/>
    <w:rsid w:val="00BA2A5E"/>
    <w:rsid w:val="00BA6F3B"/>
    <w:rsid w:val="00BB00B6"/>
    <w:rsid w:val="00BB0BCA"/>
    <w:rsid w:val="00BB10A3"/>
    <w:rsid w:val="00BB4D93"/>
    <w:rsid w:val="00BB504B"/>
    <w:rsid w:val="00BB53DA"/>
    <w:rsid w:val="00BC7876"/>
    <w:rsid w:val="00BD253E"/>
    <w:rsid w:val="00BD3C62"/>
    <w:rsid w:val="00BE096D"/>
    <w:rsid w:val="00BE300D"/>
    <w:rsid w:val="00BE7FF7"/>
    <w:rsid w:val="00BF0006"/>
    <w:rsid w:val="00C007A9"/>
    <w:rsid w:val="00C04140"/>
    <w:rsid w:val="00C04770"/>
    <w:rsid w:val="00C04949"/>
    <w:rsid w:val="00C065D3"/>
    <w:rsid w:val="00C0689F"/>
    <w:rsid w:val="00C106C3"/>
    <w:rsid w:val="00C12CD1"/>
    <w:rsid w:val="00C14C2A"/>
    <w:rsid w:val="00C14D1A"/>
    <w:rsid w:val="00C15C76"/>
    <w:rsid w:val="00C2008A"/>
    <w:rsid w:val="00C22EFD"/>
    <w:rsid w:val="00C2566C"/>
    <w:rsid w:val="00C333C8"/>
    <w:rsid w:val="00C35839"/>
    <w:rsid w:val="00C37B40"/>
    <w:rsid w:val="00C40FBF"/>
    <w:rsid w:val="00C412F4"/>
    <w:rsid w:val="00C466C7"/>
    <w:rsid w:val="00C46AEA"/>
    <w:rsid w:val="00C5190C"/>
    <w:rsid w:val="00C554A5"/>
    <w:rsid w:val="00C57B3A"/>
    <w:rsid w:val="00C64ED1"/>
    <w:rsid w:val="00C71446"/>
    <w:rsid w:val="00C71AE1"/>
    <w:rsid w:val="00C7239C"/>
    <w:rsid w:val="00C725B8"/>
    <w:rsid w:val="00C73AAE"/>
    <w:rsid w:val="00C758DA"/>
    <w:rsid w:val="00C7698C"/>
    <w:rsid w:val="00C7707F"/>
    <w:rsid w:val="00C84632"/>
    <w:rsid w:val="00C91F97"/>
    <w:rsid w:val="00C9236F"/>
    <w:rsid w:val="00C95665"/>
    <w:rsid w:val="00C95C9A"/>
    <w:rsid w:val="00CA491E"/>
    <w:rsid w:val="00CB1590"/>
    <w:rsid w:val="00CB188A"/>
    <w:rsid w:val="00CB1DD0"/>
    <w:rsid w:val="00CB294F"/>
    <w:rsid w:val="00CC60DC"/>
    <w:rsid w:val="00CD03F4"/>
    <w:rsid w:val="00CD20A1"/>
    <w:rsid w:val="00CD77D1"/>
    <w:rsid w:val="00CE169D"/>
    <w:rsid w:val="00CE53CB"/>
    <w:rsid w:val="00CE6D08"/>
    <w:rsid w:val="00CF0CCA"/>
    <w:rsid w:val="00CF0EE0"/>
    <w:rsid w:val="00CF2265"/>
    <w:rsid w:val="00CF2E95"/>
    <w:rsid w:val="00CF4EAF"/>
    <w:rsid w:val="00CF6A75"/>
    <w:rsid w:val="00D00A80"/>
    <w:rsid w:val="00D021E8"/>
    <w:rsid w:val="00D04236"/>
    <w:rsid w:val="00D063FE"/>
    <w:rsid w:val="00D12207"/>
    <w:rsid w:val="00D13ED4"/>
    <w:rsid w:val="00D167D9"/>
    <w:rsid w:val="00D221B0"/>
    <w:rsid w:val="00D2223A"/>
    <w:rsid w:val="00D24C9E"/>
    <w:rsid w:val="00D272F5"/>
    <w:rsid w:val="00D300CA"/>
    <w:rsid w:val="00D34405"/>
    <w:rsid w:val="00D4215F"/>
    <w:rsid w:val="00D4342E"/>
    <w:rsid w:val="00D4370A"/>
    <w:rsid w:val="00D467CF"/>
    <w:rsid w:val="00D46901"/>
    <w:rsid w:val="00D52032"/>
    <w:rsid w:val="00D526B4"/>
    <w:rsid w:val="00D52871"/>
    <w:rsid w:val="00D55577"/>
    <w:rsid w:val="00D5650C"/>
    <w:rsid w:val="00D65849"/>
    <w:rsid w:val="00D67B99"/>
    <w:rsid w:val="00D70DC8"/>
    <w:rsid w:val="00D71B37"/>
    <w:rsid w:val="00D82A18"/>
    <w:rsid w:val="00D850D9"/>
    <w:rsid w:val="00D869A5"/>
    <w:rsid w:val="00D9642C"/>
    <w:rsid w:val="00D96B47"/>
    <w:rsid w:val="00DA06B4"/>
    <w:rsid w:val="00DA0B75"/>
    <w:rsid w:val="00DA498F"/>
    <w:rsid w:val="00DB2807"/>
    <w:rsid w:val="00DC5606"/>
    <w:rsid w:val="00DC7BF5"/>
    <w:rsid w:val="00DD018B"/>
    <w:rsid w:val="00DD2064"/>
    <w:rsid w:val="00DD235E"/>
    <w:rsid w:val="00DD4504"/>
    <w:rsid w:val="00DE0858"/>
    <w:rsid w:val="00DE44B9"/>
    <w:rsid w:val="00DE5607"/>
    <w:rsid w:val="00DE606F"/>
    <w:rsid w:val="00DF21D5"/>
    <w:rsid w:val="00DF2B4C"/>
    <w:rsid w:val="00DF3F97"/>
    <w:rsid w:val="00DF4ACB"/>
    <w:rsid w:val="00E02678"/>
    <w:rsid w:val="00E03BFC"/>
    <w:rsid w:val="00E07B3D"/>
    <w:rsid w:val="00E10D41"/>
    <w:rsid w:val="00E13012"/>
    <w:rsid w:val="00E134E5"/>
    <w:rsid w:val="00E1783E"/>
    <w:rsid w:val="00E24122"/>
    <w:rsid w:val="00E26E1E"/>
    <w:rsid w:val="00E33CCC"/>
    <w:rsid w:val="00E34D72"/>
    <w:rsid w:val="00E353DC"/>
    <w:rsid w:val="00E42447"/>
    <w:rsid w:val="00E45D86"/>
    <w:rsid w:val="00E54E99"/>
    <w:rsid w:val="00E55394"/>
    <w:rsid w:val="00E60255"/>
    <w:rsid w:val="00E6086F"/>
    <w:rsid w:val="00E65AA9"/>
    <w:rsid w:val="00E70012"/>
    <w:rsid w:val="00E719C6"/>
    <w:rsid w:val="00E71B6E"/>
    <w:rsid w:val="00E756A2"/>
    <w:rsid w:val="00E75D02"/>
    <w:rsid w:val="00E760BF"/>
    <w:rsid w:val="00E77DE3"/>
    <w:rsid w:val="00E807DE"/>
    <w:rsid w:val="00E80AA8"/>
    <w:rsid w:val="00E85B6E"/>
    <w:rsid w:val="00E876B8"/>
    <w:rsid w:val="00E916DF"/>
    <w:rsid w:val="00E9214F"/>
    <w:rsid w:val="00E92F8A"/>
    <w:rsid w:val="00E940E7"/>
    <w:rsid w:val="00E94802"/>
    <w:rsid w:val="00E94C1D"/>
    <w:rsid w:val="00EA19F9"/>
    <w:rsid w:val="00EA34A6"/>
    <w:rsid w:val="00EA34CA"/>
    <w:rsid w:val="00EA3E71"/>
    <w:rsid w:val="00EA66C9"/>
    <w:rsid w:val="00EA7860"/>
    <w:rsid w:val="00EC0974"/>
    <w:rsid w:val="00EC11A7"/>
    <w:rsid w:val="00EC3DAC"/>
    <w:rsid w:val="00EC4CE1"/>
    <w:rsid w:val="00EC705C"/>
    <w:rsid w:val="00EC747D"/>
    <w:rsid w:val="00ED380A"/>
    <w:rsid w:val="00EE0142"/>
    <w:rsid w:val="00EE0868"/>
    <w:rsid w:val="00EE1B49"/>
    <w:rsid w:val="00EE29F0"/>
    <w:rsid w:val="00EE3EC3"/>
    <w:rsid w:val="00F01E55"/>
    <w:rsid w:val="00F03124"/>
    <w:rsid w:val="00F051D7"/>
    <w:rsid w:val="00F10018"/>
    <w:rsid w:val="00F14662"/>
    <w:rsid w:val="00F16D74"/>
    <w:rsid w:val="00F20135"/>
    <w:rsid w:val="00F21CF3"/>
    <w:rsid w:val="00F223C6"/>
    <w:rsid w:val="00F22AFC"/>
    <w:rsid w:val="00F32669"/>
    <w:rsid w:val="00F32EDC"/>
    <w:rsid w:val="00F371CD"/>
    <w:rsid w:val="00F40640"/>
    <w:rsid w:val="00F42EAB"/>
    <w:rsid w:val="00F432B0"/>
    <w:rsid w:val="00F43D37"/>
    <w:rsid w:val="00F448F4"/>
    <w:rsid w:val="00F50DFC"/>
    <w:rsid w:val="00F50FCF"/>
    <w:rsid w:val="00F51683"/>
    <w:rsid w:val="00F53C6E"/>
    <w:rsid w:val="00F60BCB"/>
    <w:rsid w:val="00F62262"/>
    <w:rsid w:val="00F64BC7"/>
    <w:rsid w:val="00F66E94"/>
    <w:rsid w:val="00F82DC3"/>
    <w:rsid w:val="00F82DD8"/>
    <w:rsid w:val="00F84CB3"/>
    <w:rsid w:val="00F855AA"/>
    <w:rsid w:val="00F91114"/>
    <w:rsid w:val="00F9267E"/>
    <w:rsid w:val="00F943CA"/>
    <w:rsid w:val="00FA68BF"/>
    <w:rsid w:val="00FB08CF"/>
    <w:rsid w:val="00FB7C9E"/>
    <w:rsid w:val="00FC12A7"/>
    <w:rsid w:val="00FC6753"/>
    <w:rsid w:val="00FD37D6"/>
    <w:rsid w:val="00FD6A89"/>
    <w:rsid w:val="00FE421C"/>
    <w:rsid w:val="00FE51F7"/>
    <w:rsid w:val="00FF0B5F"/>
    <w:rsid w:val="00FF2263"/>
    <w:rsid w:val="00FF3CFE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549BD9"/>
  <w15:docId w15:val="{D6B243F3-EB33-433B-AE43-DD7C450E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3624"/>
  </w:style>
  <w:style w:type="paragraph" w:styleId="Cmsor1">
    <w:name w:val="heading 1"/>
    <w:basedOn w:val="Norml"/>
    <w:next w:val="Norml"/>
    <w:link w:val="Cmsor1Char"/>
    <w:uiPriority w:val="9"/>
    <w:qFormat/>
    <w:rsid w:val="0066523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523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6523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52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52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652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652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652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652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71D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6523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65238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BE300D"/>
    <w:pPr>
      <w:spacing w:after="100"/>
    </w:pPr>
  </w:style>
  <w:style w:type="character" w:styleId="Hiperhivatkozs">
    <w:name w:val="Hyperlink"/>
    <w:uiPriority w:val="99"/>
    <w:rsid w:val="00BE300D"/>
    <w:rPr>
      <w:rFonts w:cs="Times New Roman"/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52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66523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6523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523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6523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6523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6523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6523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65238"/>
    <w:pPr>
      <w:spacing w:line="240" w:lineRule="auto"/>
    </w:pPr>
    <w:rPr>
      <w:b/>
      <w:bCs/>
      <w:smallCaps/>
      <w:color w:val="44546A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66523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66523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66523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6523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665238"/>
    <w:rPr>
      <w:b/>
      <w:bCs/>
    </w:rPr>
  </w:style>
  <w:style w:type="character" w:styleId="Kiemels">
    <w:name w:val="Emphasis"/>
    <w:basedOn w:val="Bekezdsalapbettpusa"/>
    <w:uiPriority w:val="20"/>
    <w:qFormat/>
    <w:rsid w:val="00665238"/>
    <w:rPr>
      <w:i/>
      <w:iCs/>
    </w:rPr>
  </w:style>
  <w:style w:type="paragraph" w:styleId="Nincstrkz">
    <w:name w:val="No Spacing"/>
    <w:uiPriority w:val="1"/>
    <w:qFormat/>
    <w:rsid w:val="00665238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66523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665238"/>
    <w:rPr>
      <w:color w:val="44546A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6523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6523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665238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665238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66523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665238"/>
    <w:rPr>
      <w:b/>
      <w:bCs/>
      <w:smallCaps/>
      <w:color w:val="44546A" w:themeColor="text2"/>
      <w:u w:val="single"/>
    </w:rPr>
  </w:style>
  <w:style w:type="character" w:styleId="Knyvcme">
    <w:name w:val="Book Title"/>
    <w:basedOn w:val="Bekezdsalapbettpusa"/>
    <w:uiPriority w:val="33"/>
    <w:qFormat/>
    <w:rsid w:val="00665238"/>
    <w:rPr>
      <w:b/>
      <w:bCs/>
      <w:smallCaps/>
      <w:spacing w:val="10"/>
    </w:rPr>
  </w:style>
  <w:style w:type="paragraph" w:customStyle="1" w:styleId="Default">
    <w:name w:val="Default"/>
    <w:rsid w:val="00AD53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8A0781"/>
    <w:pPr>
      <w:spacing w:before="240" w:after="0" w:line="288" w:lineRule="auto"/>
      <w:ind w:left="720"/>
      <w:contextualSpacing/>
    </w:pPr>
    <w:rPr>
      <w:rFonts w:ascii="EYInterstate Light" w:eastAsia="Times New Roman" w:hAnsi="EYInterstate Light" w:cs="Times New Roman"/>
      <w:szCs w:val="24"/>
      <w:lang w:val="en-US"/>
    </w:rPr>
  </w:style>
  <w:style w:type="paragraph" w:customStyle="1" w:styleId="BodyText21">
    <w:name w:val="Body Text 21"/>
    <w:basedOn w:val="Norml"/>
    <w:rsid w:val="00F223C6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A55027"/>
    <w:pPr>
      <w:spacing w:after="100"/>
      <w:ind w:left="440"/>
    </w:pPr>
  </w:style>
  <w:style w:type="table" w:styleId="Rcsostblzat">
    <w:name w:val="Table Grid"/>
    <w:basedOn w:val="Normltblzat"/>
    <w:uiPriority w:val="39"/>
    <w:rsid w:val="00AE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D098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D0980"/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D0980"/>
    <w:rPr>
      <w:rFonts w:ascii="Calibri" w:eastAsia="Times New Roman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0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0980"/>
    <w:rPr>
      <w:rFonts w:ascii="Segoe UI" w:hAnsi="Segoe UI" w:cs="Segoe UI"/>
      <w:sz w:val="18"/>
      <w:szCs w:val="18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7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7785C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3D8"/>
  </w:style>
  <w:style w:type="paragraph" w:styleId="llb">
    <w:name w:val="footer"/>
    <w:basedOn w:val="Norml"/>
    <w:link w:val="llbChar"/>
    <w:uiPriority w:val="99"/>
    <w:unhideWhenUsed/>
    <w:rsid w:val="006A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3D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1412"/>
    <w:pPr>
      <w:spacing w:line="240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1412"/>
    <w:rPr>
      <w:rFonts w:ascii="Calibri" w:eastAsia="Times New Roman" w:hAnsi="Calibri" w:cs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BB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BB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BB5"/>
    <w:rPr>
      <w:vertAlign w:val="superscript"/>
    </w:rPr>
  </w:style>
  <w:style w:type="character" w:customStyle="1" w:styleId="lawnum">
    <w:name w:val="lawnum"/>
    <w:basedOn w:val="Bekezdsalapbettpusa"/>
    <w:rsid w:val="003F6DEE"/>
  </w:style>
  <w:style w:type="character" w:customStyle="1" w:styleId="desc">
    <w:name w:val="desc"/>
    <w:basedOn w:val="Bekezdsalapbettpusa"/>
    <w:rsid w:val="003F6DEE"/>
  </w:style>
  <w:style w:type="character" w:customStyle="1" w:styleId="markedcontent">
    <w:name w:val="markedcontent"/>
    <w:basedOn w:val="Bekezdsalapbettpusa"/>
    <w:rsid w:val="00FE5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tijus.hu/optijus/lawtext/A1300575.EUP/tvalid/2022.7.1./tsid/lawrefk(4)B(1)1(146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tijus.hu/optijus/lawtext/A1300575.EUP/tvalid/2022.7.1./tsid/lawrefk(4)B(1)1(146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optijus.hu/optijus/lawtext/A13I0036.EUP/tvalid/2021.6.14./tsid/lawrefk(92)B(3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tijus.hu/optijus/lawtext/A13I0036.EUP/tvalid/2021.6.14./tsid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70ED-B169-4AEB-A5C0-61F3F1B2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6206</Words>
  <Characters>42825</Characters>
  <Application>Microsoft Office Word</Application>
  <DocSecurity>0</DocSecurity>
  <Lines>356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Kadala Miklos</dc:creator>
  <cp:lastModifiedBy>Szabó Margaréta</cp:lastModifiedBy>
  <cp:revision>3</cp:revision>
  <cp:lastPrinted>2020-06-09T07:19:00Z</cp:lastPrinted>
  <dcterms:created xsi:type="dcterms:W3CDTF">2022-08-09T08:19:00Z</dcterms:created>
  <dcterms:modified xsi:type="dcterms:W3CDTF">2022-08-09T08:21:00Z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12af3-0796-431f-a19a-471c0cc3d607_Enabled">
    <vt:lpwstr>true</vt:lpwstr>
  </property>
  <property fmtid="{D5CDD505-2E9C-101B-9397-08002B2CF9AE}" pid="3" name="MSIP_Label_82f12af3-0796-431f-a19a-471c0cc3d607_SetDate">
    <vt:lpwstr>2022-08-09T09:30:07Z</vt:lpwstr>
  </property>
  <property fmtid="{D5CDD505-2E9C-101B-9397-08002B2CF9AE}" pid="4" name="MSIP_Label_82f12af3-0796-431f-a19a-471c0cc3d607_Method">
    <vt:lpwstr>Standard</vt:lpwstr>
  </property>
  <property fmtid="{D5CDD505-2E9C-101B-9397-08002B2CF9AE}" pid="5" name="MSIP_Label_82f12af3-0796-431f-a19a-471c0cc3d607_Name">
    <vt:lpwstr>Üzleti_dokumentum_label</vt:lpwstr>
  </property>
  <property fmtid="{D5CDD505-2E9C-101B-9397-08002B2CF9AE}" pid="6" name="MSIP_Label_82f12af3-0796-431f-a19a-471c0cc3d607_SiteId">
    <vt:lpwstr>3f1a84fb-1d1d-4d38-9411-8d0bfc17bc3f</vt:lpwstr>
  </property>
  <property fmtid="{D5CDD505-2E9C-101B-9397-08002B2CF9AE}" pid="7" name="MSIP_Label_82f12af3-0796-431f-a19a-471c0cc3d607_ActionId">
    <vt:lpwstr>c353d5bb-4412-45ee-8ec8-fb5bf68828bf</vt:lpwstr>
  </property>
  <property fmtid="{D5CDD505-2E9C-101B-9397-08002B2CF9AE}" pid="8" name="MSIP_Label_82f12af3-0796-431f-a19a-471c0cc3d607_ContentBits">
    <vt:lpwstr>0</vt:lpwstr>
  </property>
</Properties>
</file>